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65" w:type="dxa"/>
        <w:jc w:val="center"/>
        <w:tblLayout w:type="fixed"/>
        <w:tblLook w:val="04A0" w:firstRow="1" w:lastRow="0" w:firstColumn="1" w:lastColumn="0" w:noHBand="0" w:noVBand="1"/>
      </w:tblPr>
      <w:tblGrid>
        <w:gridCol w:w="2758"/>
        <w:gridCol w:w="1151"/>
        <w:gridCol w:w="3677"/>
        <w:gridCol w:w="3779"/>
      </w:tblGrid>
      <w:tr w:rsidR="00556A1D">
        <w:trPr>
          <w:jc w:val="center"/>
        </w:trPr>
        <w:tc>
          <w:tcPr>
            <w:tcW w:w="2758" w:type="dxa"/>
          </w:tcPr>
          <w:p w:rsidR="00556A1D" w:rsidRDefault="002F7688">
            <w:pPr>
              <w:spacing w:after="0" w:line="276" w:lineRule="auto"/>
              <w:rPr>
                <w:rFonts w:cs="Times New Roman"/>
                <w:sz w:val="24"/>
                <w:szCs w:val="24"/>
              </w:rPr>
            </w:pPr>
            <w:r>
              <w:rPr>
                <w:rFonts w:cs="Times New Roman"/>
                <w:noProof/>
                <w:sz w:val="24"/>
                <w:szCs w:val="24"/>
              </w:rPr>
              <w:drawing>
                <wp:inline distT="0" distB="0" distL="114300" distR="114300">
                  <wp:extent cx="1503045" cy="525780"/>
                  <wp:effectExtent l="0" t="0" r="190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9"/>
                          <a:stretch>
                            <a:fillRect/>
                          </a:stretch>
                        </pic:blipFill>
                        <pic:spPr>
                          <a:xfrm>
                            <a:off x="0" y="0"/>
                            <a:ext cx="1503045" cy="525780"/>
                          </a:xfrm>
                          <a:prstGeom prst="rect">
                            <a:avLst/>
                          </a:prstGeom>
                          <a:noFill/>
                          <a:ln>
                            <a:noFill/>
                          </a:ln>
                        </pic:spPr>
                      </pic:pic>
                    </a:graphicData>
                  </a:graphic>
                </wp:inline>
              </w:drawing>
            </w:r>
          </w:p>
        </w:tc>
        <w:tc>
          <w:tcPr>
            <w:tcW w:w="8607" w:type="dxa"/>
            <w:gridSpan w:val="3"/>
          </w:tcPr>
          <w:p w:rsidR="00556A1D" w:rsidRDefault="002F7688">
            <w:pPr>
              <w:pStyle w:val="Heading3"/>
              <w:keepNext w:val="0"/>
              <w:keepLines w:val="0"/>
              <w:shd w:val="clear" w:color="auto" w:fill="FFFFFF"/>
              <w:spacing w:before="0" w:after="105"/>
              <w:rPr>
                <w:rFonts w:ascii="Georgia" w:eastAsia="Georgia" w:hAnsi="Georgia"/>
                <w:color w:val="808080" w:themeColor="background1" w:themeShade="80"/>
                <w:sz w:val="24"/>
                <w:szCs w:val="24"/>
                <w:shd w:val="clear" w:color="auto" w:fill="FFFFFF"/>
              </w:rPr>
            </w:pPr>
            <w:r>
              <w:rPr>
                <w:rFonts w:ascii="Georgia" w:eastAsia="Georgia" w:hAnsi="Georgia"/>
                <w:color w:val="808080" w:themeColor="background1" w:themeShade="80"/>
                <w:sz w:val="24"/>
                <w:szCs w:val="24"/>
                <w:shd w:val="clear" w:color="auto" w:fill="FFFFFF"/>
              </w:rPr>
              <w:t>Journal of Reproductive Health, Gender, and HIV in Africa</w:t>
            </w:r>
          </w:p>
          <w:p w:rsidR="00556A1D" w:rsidRDefault="002F7688">
            <w:pPr>
              <w:pStyle w:val="Heading3"/>
              <w:keepNext w:val="0"/>
              <w:keepLines w:val="0"/>
              <w:shd w:val="clear" w:color="auto" w:fill="FFFFFF"/>
              <w:spacing w:before="0" w:after="105"/>
              <w:rPr>
                <w:rFonts w:ascii="Times New Roman" w:hAnsi="Times New Roman" w:cs="Times New Roman"/>
                <w:sz w:val="24"/>
                <w:szCs w:val="24"/>
              </w:rPr>
            </w:pPr>
            <w:r>
              <w:rPr>
                <w:rFonts w:ascii="Times New Roman" w:hAnsi="Times New Roman"/>
                <w:color w:val="0000FF"/>
                <w:sz w:val="21"/>
                <w:szCs w:val="32"/>
              </w:rPr>
              <w:t>https://parj.africa/ajphs_rggh/en</w:t>
            </w:r>
          </w:p>
        </w:tc>
      </w:tr>
      <w:tr w:rsidR="00556A1D">
        <w:trPr>
          <w:jc w:val="center"/>
        </w:trPr>
        <w:tc>
          <w:tcPr>
            <w:tcW w:w="3909" w:type="dxa"/>
            <w:gridSpan w:val="2"/>
            <w:shd w:val="clear" w:color="auto" w:fill="D6E3BC" w:themeFill="accent3" w:themeFillTint="66"/>
            <w:tcMar>
              <w:top w:w="25" w:type="dxa"/>
              <w:left w:w="20" w:type="dxa"/>
              <w:bottom w:w="25" w:type="dxa"/>
              <w:right w:w="20" w:type="dxa"/>
            </w:tcMar>
            <w:vAlign w:val="center"/>
          </w:tcPr>
          <w:p w:rsidR="00556A1D" w:rsidRDefault="002F7688">
            <w:pPr>
              <w:spacing w:after="0" w:line="276" w:lineRule="auto"/>
              <w:jc w:val="center"/>
              <w:rPr>
                <w:rFonts w:cs="Times New Roman"/>
                <w:color w:val="E36C0A" w:themeColor="accent6" w:themeShade="BF"/>
                <w:sz w:val="18"/>
                <w:szCs w:val="18"/>
              </w:rPr>
            </w:pPr>
            <w:r>
              <w:rPr>
                <w:rFonts w:cs="Times New Roman"/>
                <w:b/>
                <w:color w:val="E36C0A" w:themeColor="accent6" w:themeShade="BF"/>
                <w:sz w:val="18"/>
                <w:szCs w:val="18"/>
              </w:rPr>
              <w:t xml:space="preserve">Volume </w:t>
            </w:r>
            <w:r>
              <w:rPr>
                <w:rFonts w:cs="Times New Roman"/>
                <w:b/>
                <w:color w:val="E36C0A" w:themeColor="accent6" w:themeShade="BF"/>
                <w:sz w:val="18"/>
                <w:szCs w:val="18"/>
              </w:rPr>
              <w:t xml:space="preserve">: 27      </w:t>
            </w:r>
            <w:r>
              <w:rPr>
                <w:rFonts w:cs="Times New Roman"/>
                <w:b/>
                <w:color w:val="E36C0A" w:themeColor="accent6" w:themeShade="BF"/>
                <w:sz w:val="18"/>
                <w:szCs w:val="18"/>
              </w:rPr>
              <w:t xml:space="preserve">Issue </w:t>
            </w:r>
            <w:r>
              <w:rPr>
                <w:rFonts w:cs="Times New Roman"/>
                <w:b/>
                <w:color w:val="E36C0A" w:themeColor="accent6" w:themeShade="BF"/>
                <w:sz w:val="18"/>
                <w:szCs w:val="18"/>
              </w:rPr>
              <w:t>: 11</w:t>
            </w:r>
            <w:r>
              <w:rPr>
                <w:rFonts w:cs="Times New Roman"/>
                <w:b/>
                <w:color w:val="E36C0A" w:themeColor="accent6" w:themeShade="BF"/>
                <w:sz w:val="18"/>
                <w:szCs w:val="18"/>
              </w:rPr>
              <w:t xml:space="preserve">  </w:t>
            </w:r>
            <w:r>
              <w:rPr>
                <w:rFonts w:cs="Times New Roman"/>
                <w:b/>
                <w:color w:val="E36C0A" w:themeColor="accent6" w:themeShade="BF"/>
                <w:sz w:val="18"/>
                <w:szCs w:val="18"/>
              </w:rPr>
              <w:t xml:space="preserve">      </w:t>
            </w:r>
            <w:r>
              <w:rPr>
                <w:rFonts w:cs="Times New Roman"/>
                <w:b/>
                <w:color w:val="E36C0A" w:themeColor="accent6" w:themeShade="BF"/>
                <w:sz w:val="18"/>
                <w:szCs w:val="18"/>
              </w:rPr>
              <w:t xml:space="preserve"> Pages </w:t>
            </w:r>
            <w:r>
              <w:rPr>
                <w:rFonts w:cs="Times New Roman"/>
                <w:b/>
                <w:color w:val="E36C0A" w:themeColor="accent6" w:themeShade="BF"/>
                <w:sz w:val="18"/>
                <w:szCs w:val="18"/>
              </w:rPr>
              <w:t>: 19</w:t>
            </w:r>
          </w:p>
        </w:tc>
        <w:tc>
          <w:tcPr>
            <w:tcW w:w="3677" w:type="dxa"/>
            <w:shd w:val="clear" w:color="auto" w:fill="D6E3BC" w:themeFill="accent3" w:themeFillTint="66"/>
            <w:tcMar>
              <w:top w:w="25" w:type="dxa"/>
              <w:left w:w="20" w:type="dxa"/>
              <w:bottom w:w="25" w:type="dxa"/>
              <w:right w:w="20" w:type="dxa"/>
            </w:tcMar>
            <w:vAlign w:val="center"/>
          </w:tcPr>
          <w:p w:rsidR="00556A1D" w:rsidRDefault="002F7688">
            <w:pPr>
              <w:spacing w:after="0" w:line="276" w:lineRule="auto"/>
              <w:jc w:val="center"/>
              <w:rPr>
                <w:rFonts w:cs="Times New Roman"/>
                <w:color w:val="E36C0A" w:themeColor="accent6" w:themeShade="BF"/>
                <w:sz w:val="18"/>
                <w:szCs w:val="18"/>
              </w:rPr>
            </w:pPr>
            <w:r>
              <w:rPr>
                <w:b/>
                <w:color w:val="E36C0A" w:themeColor="accent6" w:themeShade="BF"/>
                <w:sz w:val="18"/>
                <w:szCs w:val="18"/>
              </w:rPr>
              <w:t>CLINICAL_EMERALD</w:t>
            </w:r>
          </w:p>
        </w:tc>
        <w:tc>
          <w:tcPr>
            <w:tcW w:w="3779" w:type="dxa"/>
            <w:shd w:val="clear" w:color="auto" w:fill="D6E3BC" w:themeFill="accent3" w:themeFillTint="66"/>
            <w:tcMar>
              <w:top w:w="25" w:type="dxa"/>
              <w:left w:w="20" w:type="dxa"/>
              <w:bottom w:w="25" w:type="dxa"/>
              <w:right w:w="20" w:type="dxa"/>
            </w:tcMar>
            <w:vAlign w:val="center"/>
          </w:tcPr>
          <w:p w:rsidR="00556A1D" w:rsidRDefault="002F7688">
            <w:pPr>
              <w:spacing w:after="0" w:line="276" w:lineRule="auto"/>
              <w:jc w:val="center"/>
              <w:rPr>
                <w:rFonts w:cs="Times New Roman"/>
                <w:color w:val="E36C0A" w:themeColor="accent6" w:themeShade="BF"/>
                <w:sz w:val="18"/>
                <w:szCs w:val="18"/>
              </w:rPr>
            </w:pPr>
            <w:r>
              <w:rPr>
                <w:rFonts w:cs="Times New Roman"/>
                <w:b/>
                <w:color w:val="E36C0A" w:themeColor="accent6" w:themeShade="BF"/>
                <w:sz w:val="18"/>
                <w:szCs w:val="18"/>
              </w:rPr>
              <w:t>OPEN ACCESS</w:t>
            </w:r>
          </w:p>
        </w:tc>
      </w:tr>
      <w:tr w:rsidR="00556A1D" w:rsidTr="0050282E">
        <w:trPr>
          <w:trHeight w:val="6397"/>
          <w:jc w:val="center"/>
        </w:trPr>
        <w:tc>
          <w:tcPr>
            <w:tcW w:w="2758" w:type="dxa"/>
            <w:tcBorders>
              <w:right w:val="single" w:sz="4" w:space="0" w:color="auto"/>
            </w:tcBorders>
            <w:shd w:val="clear" w:color="auto" w:fill="C2D69B" w:themeFill="accent3" w:themeFillTint="99"/>
          </w:tcPr>
          <w:p w:rsidR="00556A1D" w:rsidRDefault="002F7688">
            <w:pPr>
              <w:spacing w:line="276" w:lineRule="auto"/>
              <w:jc w:val="center"/>
              <w:rPr>
                <w:rFonts w:cs="Times New Roman"/>
                <w:sz w:val="24"/>
                <w:szCs w:val="24"/>
              </w:rPr>
            </w:pPr>
            <w:r>
              <w:rPr>
                <w:rFonts w:cs="Times New Roman"/>
                <w:noProof/>
                <w:sz w:val="24"/>
                <w:szCs w:val="24"/>
              </w:rPr>
              <w:drawing>
                <wp:inline distT="0" distB="0" distL="114300" distR="114300">
                  <wp:extent cx="1613535" cy="2151380"/>
                  <wp:effectExtent l="0" t="0" r="5715" b="1270"/>
                  <wp:docPr id="3" name="Picture 3" descr="reprod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eproduce"/>
                          <pic:cNvPicPr>
                            <a:picLocks noChangeAspect="1"/>
                          </pic:cNvPicPr>
                        </pic:nvPicPr>
                        <pic:blipFill>
                          <a:blip r:embed="rId10"/>
                          <a:stretch>
                            <a:fillRect/>
                          </a:stretch>
                        </pic:blipFill>
                        <pic:spPr>
                          <a:xfrm>
                            <a:off x="0" y="0"/>
                            <a:ext cx="1613535" cy="2151380"/>
                          </a:xfrm>
                          <a:prstGeom prst="rect">
                            <a:avLst/>
                          </a:prstGeom>
                        </pic:spPr>
                      </pic:pic>
                    </a:graphicData>
                  </a:graphic>
                </wp:inline>
              </w:drawing>
            </w:r>
          </w:p>
          <w:p w:rsidR="00556A1D" w:rsidRDefault="002F7688">
            <w:pPr>
              <w:spacing w:before="40" w:after="40" w:line="240" w:lineRule="auto"/>
              <w:rPr>
                <w:rFonts w:cs="Times New Roman"/>
                <w:color w:val="E36C0A" w:themeColor="accent6" w:themeShade="BF"/>
                <w:sz w:val="21"/>
                <w:szCs w:val="32"/>
              </w:rPr>
            </w:pPr>
            <w:r>
              <w:rPr>
                <w:rFonts w:cs="Times New Roman"/>
                <w:b/>
                <w:color w:val="E36C0A" w:themeColor="accent6" w:themeShade="BF"/>
                <w:sz w:val="20"/>
                <w:szCs w:val="32"/>
              </w:rPr>
              <w:t>ARTICLE INFORMATION</w:t>
            </w:r>
          </w:p>
          <w:p w:rsidR="00556A1D" w:rsidRDefault="002F7688">
            <w:pPr>
              <w:spacing w:after="0" w:line="240" w:lineRule="auto"/>
              <w:rPr>
                <w:rFonts w:cs="Times New Roman"/>
                <w:sz w:val="21"/>
                <w:szCs w:val="32"/>
              </w:rPr>
            </w:pPr>
            <w:r>
              <w:rPr>
                <w:rFonts w:cs="Times New Roman"/>
                <w:b/>
                <w:sz w:val="20"/>
                <w:szCs w:val="32"/>
              </w:rPr>
              <w:t xml:space="preserve">Received: </w:t>
            </w:r>
            <w:r>
              <w:rPr>
                <w:rFonts w:cs="Times New Roman"/>
                <w:b/>
                <w:sz w:val="20"/>
                <w:szCs w:val="32"/>
              </w:rPr>
              <w:t>28/09/2026</w:t>
            </w:r>
          </w:p>
          <w:p w:rsidR="00556A1D" w:rsidRDefault="002F7688">
            <w:pPr>
              <w:spacing w:after="0" w:line="240" w:lineRule="auto"/>
              <w:rPr>
                <w:rFonts w:cs="Times New Roman"/>
                <w:sz w:val="21"/>
                <w:szCs w:val="32"/>
              </w:rPr>
            </w:pPr>
            <w:r>
              <w:rPr>
                <w:rFonts w:cs="Times New Roman"/>
                <w:b/>
                <w:sz w:val="20"/>
                <w:szCs w:val="32"/>
              </w:rPr>
              <w:t xml:space="preserve">Revised: </w:t>
            </w:r>
            <w:r>
              <w:rPr>
                <w:rFonts w:cs="Times New Roman"/>
                <w:b/>
                <w:sz w:val="20"/>
                <w:szCs w:val="32"/>
              </w:rPr>
              <w:t>23/10/2026</w:t>
            </w:r>
          </w:p>
          <w:p w:rsidR="00556A1D" w:rsidRDefault="002F7688">
            <w:pPr>
              <w:spacing w:after="0" w:line="240" w:lineRule="auto"/>
              <w:rPr>
                <w:rFonts w:cs="Times New Roman"/>
                <w:sz w:val="21"/>
                <w:szCs w:val="32"/>
              </w:rPr>
            </w:pPr>
            <w:r>
              <w:rPr>
                <w:rFonts w:cs="Times New Roman"/>
                <w:b/>
                <w:sz w:val="20"/>
                <w:szCs w:val="32"/>
              </w:rPr>
              <w:t xml:space="preserve">Accepted: </w:t>
            </w:r>
            <w:r>
              <w:rPr>
                <w:rFonts w:cs="Times New Roman"/>
                <w:b/>
                <w:sz w:val="20"/>
                <w:szCs w:val="32"/>
              </w:rPr>
              <w:t>01/11/2026</w:t>
            </w:r>
          </w:p>
          <w:p w:rsidR="00556A1D" w:rsidRDefault="002F7688">
            <w:pPr>
              <w:spacing w:after="0" w:line="240" w:lineRule="auto"/>
              <w:rPr>
                <w:rFonts w:cs="Times New Roman"/>
                <w:sz w:val="20"/>
                <w:szCs w:val="32"/>
              </w:rPr>
            </w:pPr>
            <w:r>
              <w:rPr>
                <w:rFonts w:cs="Times New Roman"/>
                <w:b/>
                <w:sz w:val="20"/>
                <w:szCs w:val="32"/>
              </w:rPr>
              <w:t xml:space="preserve">Published: </w:t>
            </w:r>
            <w:r>
              <w:rPr>
                <w:rFonts w:cs="Times New Roman"/>
                <w:b/>
                <w:sz w:val="20"/>
                <w:szCs w:val="32"/>
              </w:rPr>
              <w:t>06/11/2026</w:t>
            </w:r>
          </w:p>
          <w:p w:rsidR="00556A1D" w:rsidRDefault="00556A1D">
            <w:pPr>
              <w:spacing w:after="0" w:line="240" w:lineRule="auto"/>
              <w:rPr>
                <w:rFonts w:cs="Times New Roman"/>
                <w:sz w:val="20"/>
                <w:szCs w:val="32"/>
              </w:rPr>
            </w:pPr>
          </w:p>
          <w:p w:rsidR="00556A1D" w:rsidRDefault="002F7688">
            <w:pPr>
              <w:spacing w:before="60" w:after="0" w:line="240" w:lineRule="auto"/>
              <w:rPr>
                <w:rFonts w:cs="Times New Roman"/>
                <w:color w:val="E36C0A" w:themeColor="accent6" w:themeShade="BF"/>
                <w:sz w:val="21"/>
                <w:szCs w:val="32"/>
              </w:rPr>
            </w:pPr>
            <w:r>
              <w:rPr>
                <w:rFonts w:cs="Times New Roman"/>
                <w:b/>
                <w:color w:val="E36C0A" w:themeColor="accent6" w:themeShade="BF"/>
                <w:sz w:val="20"/>
                <w:szCs w:val="32"/>
              </w:rPr>
              <w:t>PUBLISHER</w:t>
            </w:r>
          </w:p>
          <w:p w:rsidR="00556A1D" w:rsidRDefault="002F7688">
            <w:pPr>
              <w:spacing w:after="0" w:line="240" w:lineRule="auto"/>
              <w:rPr>
                <w:rFonts w:cs="Times New Roman"/>
                <w:sz w:val="20"/>
                <w:szCs w:val="32"/>
              </w:rPr>
            </w:pPr>
            <w:r>
              <w:rPr>
                <w:rFonts w:cs="Times New Roman"/>
                <w:sz w:val="20"/>
                <w:szCs w:val="32"/>
              </w:rPr>
              <w:t>Pan-African Research Journals (PARJ Africa)</w:t>
            </w:r>
          </w:p>
          <w:p w:rsidR="00556A1D" w:rsidRDefault="00556A1D">
            <w:pPr>
              <w:spacing w:after="0" w:line="240" w:lineRule="auto"/>
              <w:rPr>
                <w:rFonts w:cs="Times New Roman"/>
                <w:sz w:val="20"/>
                <w:szCs w:val="32"/>
              </w:rPr>
            </w:pPr>
          </w:p>
          <w:p w:rsidR="00556A1D" w:rsidRDefault="002F7688">
            <w:pPr>
              <w:spacing w:after="0" w:line="240" w:lineRule="auto"/>
              <w:rPr>
                <w:rFonts w:ascii="Bahnschrift" w:hAnsi="Bahnschrift" w:cs="Bahnschrift"/>
                <w:sz w:val="21"/>
                <w:szCs w:val="36"/>
              </w:rPr>
            </w:pPr>
            <w:r>
              <w:rPr>
                <w:rFonts w:cs="Times New Roman"/>
                <w:sz w:val="20"/>
                <w:szCs w:val="32"/>
              </w:rPr>
              <w:t xml:space="preserve">ISNI: </w:t>
            </w:r>
            <w:hyperlink r:id="rId11">
              <w:r>
                <w:rPr>
                  <w:rFonts w:cs="Times New Roman"/>
                  <w:b/>
                  <w:bCs/>
                  <w:color w:val="0563C1"/>
                  <w:sz w:val="20"/>
                  <w:szCs w:val="32"/>
                </w:rPr>
                <w:t>0000 0005 3170 4059</w:t>
              </w:r>
            </w:hyperlink>
          </w:p>
        </w:tc>
        <w:tc>
          <w:tcPr>
            <w:tcW w:w="8607" w:type="dxa"/>
            <w:gridSpan w:val="3"/>
            <w:tcBorders>
              <w:top w:val="single" w:sz="4" w:space="0" w:color="auto"/>
              <w:left w:val="single" w:sz="4" w:space="0" w:color="auto"/>
              <w:bottom w:val="single" w:sz="4" w:space="0" w:color="auto"/>
              <w:right w:val="single" w:sz="4" w:space="0" w:color="auto"/>
            </w:tcBorders>
            <w:shd w:val="clear" w:color="auto" w:fill="125A1B"/>
          </w:tcPr>
          <w:p w:rsidR="00556A1D" w:rsidRDefault="00556A1D">
            <w:pPr>
              <w:spacing w:after="20" w:line="276" w:lineRule="auto"/>
              <w:rPr>
                <w:rFonts w:cs="Times New Roman"/>
                <w:b/>
                <w:sz w:val="24"/>
                <w:szCs w:val="24"/>
              </w:rPr>
            </w:pPr>
          </w:p>
          <w:p w:rsidR="00556A1D" w:rsidRDefault="002F7688">
            <w:pPr>
              <w:pStyle w:val="Title"/>
              <w:spacing w:line="360" w:lineRule="auto"/>
              <w:jc w:val="center"/>
              <w:rPr>
                <w:color w:val="FCB408"/>
                <w:sz w:val="44"/>
                <w:szCs w:val="72"/>
              </w:rPr>
            </w:pPr>
            <w:r>
              <w:rPr>
                <w:color w:val="FCB408"/>
                <w:sz w:val="44"/>
                <w:szCs w:val="72"/>
              </w:rPr>
              <w:t xml:space="preserve">Beyond the Clinic: Family, Community and Faith-Based Psychoeducation for Infertility </w:t>
            </w:r>
            <w:bookmarkStart w:id="0" w:name="_GoBack"/>
            <w:bookmarkEnd w:id="0"/>
            <w:r>
              <w:rPr>
                <w:color w:val="FCB408"/>
                <w:sz w:val="44"/>
                <w:szCs w:val="72"/>
              </w:rPr>
              <w:t>Care in</w:t>
            </w:r>
            <w:r>
              <w:rPr>
                <w:color w:val="FCB408"/>
                <w:sz w:val="44"/>
                <w:szCs w:val="72"/>
              </w:rPr>
              <w:t xml:space="preserve"> South Sudan</w:t>
            </w:r>
          </w:p>
          <w:p w:rsidR="00556A1D" w:rsidRDefault="00556A1D">
            <w:pPr>
              <w:pStyle w:val="BodyText"/>
            </w:pPr>
          </w:p>
          <w:p w:rsidR="00556A1D" w:rsidRDefault="002F7688">
            <w:pPr>
              <w:spacing w:after="35" w:line="360" w:lineRule="auto"/>
              <w:jc w:val="center"/>
              <w:rPr>
                <w:rFonts w:ascii="Verdana" w:hAnsi="Verdana" w:cs="Verdana"/>
                <w:color w:val="FFFFFF" w:themeColor="background1"/>
                <w:sz w:val="28"/>
                <w:szCs w:val="24"/>
              </w:rPr>
            </w:pPr>
            <w:r>
              <w:rPr>
                <w:rFonts w:ascii="Verdana" w:hAnsi="Verdana" w:cs="Verdana"/>
                <w:b/>
                <w:color w:val="FFFFFF" w:themeColor="background1"/>
                <w:sz w:val="21"/>
                <w:szCs w:val="21"/>
              </w:rPr>
              <w:t>Bena Chobiu Mark Totuliano</w:t>
            </w:r>
          </w:p>
          <w:p w:rsidR="00556A1D" w:rsidRDefault="002F7688">
            <w:pPr>
              <w:spacing w:after="70" w:line="360" w:lineRule="auto"/>
              <w:jc w:val="center"/>
              <w:rPr>
                <w:b/>
                <w:bCs/>
                <w:color w:val="36D2DC"/>
                <w:sz w:val="36"/>
                <w:szCs w:val="32"/>
              </w:rPr>
            </w:pPr>
            <w:r>
              <w:rPr>
                <w:b/>
                <w:bCs/>
                <w:color w:val="36D2DC"/>
                <w:sz w:val="21"/>
                <w:szCs w:val="21"/>
              </w:rPr>
              <w:t>Ahfad University for Women | PhD in Psychology</w:t>
            </w:r>
          </w:p>
          <w:p w:rsidR="00556A1D" w:rsidRDefault="002F7688">
            <w:pPr>
              <w:shd w:val="clear" w:color="auto" w:fill="FFFFFF" w:themeFill="background1"/>
              <w:spacing w:after="0" w:line="276" w:lineRule="auto"/>
              <w:jc w:val="center"/>
              <w:rPr>
                <w:rFonts w:eastAsia="SimSun"/>
                <w:b/>
                <w:bCs/>
                <w:color w:val="0000FF"/>
                <w:sz w:val="24"/>
                <w:szCs w:val="24"/>
                <w:shd w:val="clear" w:color="auto" w:fill="FFFFFF" w:themeFill="background1"/>
              </w:rPr>
            </w:pPr>
            <w:hyperlink r:id="rId12" w:history="1">
              <w:r>
                <w:rPr>
                  <w:rStyle w:val="Hyperlink"/>
                  <w:rFonts w:eastAsia="SimSun"/>
                  <w:b/>
                  <w:bCs/>
                  <w:sz w:val="24"/>
                  <w:szCs w:val="24"/>
                  <w:u w:val="none"/>
                  <w:shd w:val="clear" w:color="auto" w:fill="FFFFFF" w:themeFill="background1"/>
                </w:rPr>
                <w:t>awomark87@gmail.com</w:t>
              </w:r>
            </w:hyperlink>
          </w:p>
          <w:p w:rsidR="00556A1D" w:rsidRDefault="002F7688">
            <w:pPr>
              <w:spacing w:after="0" w:line="276" w:lineRule="auto"/>
              <w:jc w:val="center"/>
              <w:rPr>
                <w:rFonts w:cs="Times New Roman"/>
                <w:color w:val="0563C1"/>
                <w:sz w:val="24"/>
                <w:szCs w:val="24"/>
              </w:rPr>
            </w:pPr>
            <w:r>
              <w:rPr>
                <w:rFonts w:cs="Times New Roman"/>
                <w:b/>
                <w:bCs/>
                <w:color w:val="E36C0A" w:themeColor="accent6" w:themeShade="BF"/>
                <w:sz w:val="24"/>
                <w:szCs w:val="24"/>
              </w:rPr>
              <w:t>DOI:</w:t>
            </w:r>
            <w:r>
              <w:rPr>
                <w:rFonts w:cs="Times New Roman"/>
                <w:color w:val="0563C1"/>
                <w:sz w:val="24"/>
                <w:szCs w:val="24"/>
              </w:rPr>
              <w:t xml:space="preserve"> </w:t>
            </w:r>
            <w:r>
              <w:rPr>
                <w:b/>
                <w:bCs/>
                <w:color w:val="FCB408"/>
                <w:sz w:val="28"/>
                <w:szCs w:val="28"/>
              </w:rPr>
              <w:t>10.68258/ajphs_rggh.63724</w:t>
            </w:r>
          </w:p>
        </w:tc>
      </w:tr>
    </w:tbl>
    <w:p w:rsidR="00556A1D" w:rsidRDefault="002F7688">
      <w:pPr>
        <w:pStyle w:val="Heading1"/>
      </w:pPr>
      <w:r>
        <w:t>Abstract</w:t>
      </w:r>
    </w:p>
    <w:p w:rsidR="00556A1D" w:rsidRDefault="002F7688">
      <w:pPr>
        <w:jc w:val="both"/>
        <w:rPr>
          <w:sz w:val="19"/>
          <w:szCs w:val="19"/>
        </w:rPr>
      </w:pPr>
      <w:r>
        <w:rPr>
          <w:sz w:val="19"/>
          <w:szCs w:val="19"/>
        </w:rPr>
        <w:t xml:space="preserve">Infertility-related distress is generated not only by clinical </w:t>
      </w:r>
      <w:r>
        <w:rPr>
          <w:sz w:val="19"/>
          <w:szCs w:val="19"/>
        </w:rPr>
        <w:t>uncertainty but also by family expectations, community stigma, religious meaning and the social value attached to parenthood. Psychoeducation confined to fertility clinics may therefore reach only part of the environment in which couples live. This article</w:t>
      </w:r>
      <w:r>
        <w:rPr>
          <w:sz w:val="19"/>
          <w:szCs w:val="19"/>
        </w:rPr>
        <w:t xml:space="preserve"> examined evidence from couples in Juba, South Sudan, to identify the rationale, content and safeguards for family-, community- and faith-based psychoeducation. Methods: A focused mixed-methods secondary analysis was undertaken using the doctoral study's a</w:t>
      </w:r>
      <w:r>
        <w:rPr>
          <w:sz w:val="19"/>
          <w:szCs w:val="19"/>
        </w:rPr>
        <w:t>nalytical database of 100 individual participants drawn from a couple-based sampling framework. Quantitative evidence included religious affiliation, social-context psychosocial domains, family financial support, and psychoeducation indicators. Qualitative</w:t>
      </w:r>
      <w:r>
        <w:rPr>
          <w:sz w:val="19"/>
          <w:szCs w:val="19"/>
        </w:rPr>
        <w:t xml:space="preserve"> evidence examined stigma, cultural explanations, communication, social support, community awareness and faith-linked coping. Results: Family and community stigma constituted the most prominent psychosocial domain (M = 3.95, SD = 0.72), with 81% of partici</w:t>
      </w:r>
      <w:r>
        <w:rPr>
          <w:sz w:val="19"/>
          <w:szCs w:val="19"/>
        </w:rPr>
        <w:t>pants coded at high or very high intensity. Cultural pressure was also high (M = 3.62, SD = 0.93). Psychoeducation for communication/support was rated highly (M = 3.80, SD = 1.22), whereas correcting myths and community misconceptions was moderate (M = 3.3</w:t>
      </w:r>
      <w:r>
        <w:rPr>
          <w:sz w:val="19"/>
          <w:szCs w:val="19"/>
        </w:rPr>
        <w:t>6, SD = 0.70). Qualitative coding identified community awareness in 43 responses and communication and support in 72 responses. Participants explicitly called for awareness in the family, church and community and referred to social support networks, counse</w:t>
      </w:r>
      <w:r>
        <w:rPr>
          <w:sz w:val="19"/>
          <w:szCs w:val="19"/>
        </w:rPr>
        <w:t>lling and church activities. The sample was 78% Christian and 22% Muslim, indicating the relevance of faith-sensitive delivery without supporting any causal comparison between religious groups. Regular family financial support was associated with lower dis</w:t>
      </w:r>
      <w:r>
        <w:rPr>
          <w:sz w:val="19"/>
          <w:szCs w:val="19"/>
        </w:rPr>
        <w:t>tress, χ²(1) = 5.876, p = .015, Cramér’s V = .242. Conclusion: The findings support extending infertility-related psychoeducation in Juba beyond the clinic through carefully designed family sessions, community education and collaboration with responsible f</w:t>
      </w:r>
      <w:r>
        <w:rPr>
          <w:sz w:val="19"/>
          <w:szCs w:val="19"/>
        </w:rPr>
        <w:t>aith leaders. Such expansion must preserve consent, confidentiality, gender equity, medical accuracy and clear referral pathways. Faith engagement should support coping and care, not reinforce blame, promise pregnancy or substitute for medical and psycholo</w:t>
      </w:r>
      <w:r>
        <w:rPr>
          <w:sz w:val="19"/>
          <w:szCs w:val="19"/>
        </w:rPr>
        <w:t>gical assessment.</w:t>
      </w:r>
    </w:p>
    <w:p w:rsidR="00556A1D" w:rsidRDefault="002F7688">
      <w:pPr>
        <w:rPr>
          <w:b/>
          <w:bCs/>
          <w:color w:val="0F243E" w:themeColor="text2" w:themeShade="80"/>
          <w:sz w:val="21"/>
          <w:szCs w:val="21"/>
        </w:rPr>
      </w:pPr>
      <w:r>
        <w:rPr>
          <w:b/>
          <w:bCs/>
          <w:i/>
          <w:color w:val="0F243E" w:themeColor="text2" w:themeShade="80"/>
          <w:sz w:val="21"/>
          <w:szCs w:val="21"/>
        </w:rPr>
        <w:t>Keywords: infertility; psychoeducation; family; community; faith; stigma; South Sudan; Juba; psychosocial care; reproductive health.</w:t>
      </w:r>
    </w:p>
    <w:p w:rsidR="00556A1D" w:rsidRDefault="002F7688">
      <w:pPr>
        <w:pStyle w:val="Heading1"/>
        <w:spacing w:line="360" w:lineRule="auto"/>
        <w:rPr>
          <w:szCs w:val="26"/>
        </w:rPr>
      </w:pPr>
      <w:r>
        <w:rPr>
          <w:szCs w:val="26"/>
        </w:rPr>
        <w:lastRenderedPageBreak/>
        <w:t>1. Introduction</w:t>
      </w:r>
    </w:p>
    <w:p w:rsidR="00556A1D" w:rsidRDefault="002F7688">
      <w:pPr>
        <w:jc w:val="both"/>
      </w:pPr>
      <w:r>
        <w:t>Infertility is defined clinically in terms of reproductive function, but its meaning is o</w:t>
      </w:r>
      <w:r>
        <w:t>ften negotiated far beyond consultation rooms. The diagnosis may be discussed at home, interpreted by relatives, evaluated through community expectations and understood through religious beliefs about marriage, suffering, fertility and hope. In settings wh</w:t>
      </w:r>
      <w:r>
        <w:t>ere parenthood is closely connected to adulthood, lineage and marital legitimacy, couples can encounter social pressure even before they obtain a clear diagnosis. African evidence consistently shows that infertility-related distress includes stigma, blame,</w:t>
      </w:r>
      <w:r>
        <w:t xml:space="preserve"> social exclusion, relationship strain and economic pressure as well as emotional symptoms (Dyer et al., 2002; Tabong &amp; Adongo, 2013; Labinjo, 2022; Roomaney et al., 2024; Ekpor et al., 2025).</w:t>
      </w:r>
    </w:p>
    <w:p w:rsidR="00556A1D" w:rsidRDefault="002F7688">
      <w:pPr>
        <w:jc w:val="both"/>
      </w:pPr>
      <w:r>
        <w:t xml:space="preserve">This social distribution of infertility creates a practical </w:t>
      </w:r>
      <w:r>
        <w:t>limitation for clinic-only psychosocial models. A couple may receive accurate information from a health worker and then return to a household in which relatives attribute childlessness to one partner, recommend unproven remedies or pressure the couple towa</w:t>
      </w:r>
      <w:r>
        <w:t xml:space="preserve">rd separation or another marriage. They may participate in religious communities that provide comfort and practical support, but they may also encounter explanations involving curses, sin or insufficient faith. They may recognise that stress is common yet </w:t>
      </w:r>
      <w:r>
        <w:t>still fear gossip if they seek counselling. In such circumstances, psychoeducation must do more than convey biomedical facts to patients. It must help create a safer social environment for patients without violating their privacy or autonomy.</w:t>
      </w:r>
    </w:p>
    <w:p w:rsidR="00556A1D" w:rsidRDefault="002F7688">
      <w:pPr>
        <w:jc w:val="both"/>
      </w:pPr>
      <w:r>
        <w:t>The parent do</w:t>
      </w:r>
      <w:r>
        <w:t>ctoral study in Juba provided unusually rich material for examining this problem. Family and community stigma emerged as the strongest psychosocial domain, while participants themselves called for psychoeducation in families, churches and communities. Reli</w:t>
      </w:r>
      <w:r>
        <w:t>gious coping was prominent, and the sample included both Christian and Muslim participants. At the same time, communication and support received higher ratings than community-level myth correction or professional help-seeking. These patterns suggest that s</w:t>
      </w:r>
      <w:r>
        <w:t>ocial networks are already active in infertility coping, but their informational quality and supportive function vary.</w:t>
      </w:r>
    </w:p>
    <w:p w:rsidR="00556A1D" w:rsidRDefault="002F7688">
      <w:pPr>
        <w:jc w:val="both"/>
      </w:pPr>
      <w:r>
        <w:t>The concept of 'faith-based psychoeducation' requires careful definition. In this article it does not mean transferring reproductive-heal</w:t>
      </w:r>
      <w:r>
        <w:t>th authority to religious institutions or using faith claims to explain infertility causation. It refers to collaboration with trusted faith leaders and other trusted religious representatives to communicate non-stigmatising messages, encourage appropriate</w:t>
      </w:r>
      <w:r>
        <w:t xml:space="preserve"> medical and psychological care, support coping and discourage harmful blame. This distinction is essential because spiritual support may be valuable, whereas claims that prayer guarantees pregnancy, that infertility reflects moral failure, or that medical</w:t>
      </w:r>
      <w:r>
        <w:t xml:space="preserve"> care is unnecessary can intensify distress. A culturally responsive approach must therefore respect faith without surrendering clinical accuracy.</w:t>
      </w:r>
    </w:p>
    <w:p w:rsidR="00556A1D" w:rsidRDefault="002F7688">
      <w:pPr>
        <w:jc w:val="both"/>
      </w:pPr>
      <w:r>
        <w:t>The study also raises questions about family engagement. Relatives can provide funds, transport, emotional re</w:t>
      </w:r>
      <w:r>
        <w:t>assurance and protection against community judgement, yet they can also become the source of pressure. The statistically significant association between regular family financial support and lower distress suggests that family resources have psychosocial re</w:t>
      </w:r>
      <w:r>
        <w:t>levance. It does not establish that all family involvement is beneficial. The more defensible implication is that services need to distinguish supportive from intrusive participation and help couples set boundaries around disclosure, decision-making and fi</w:t>
      </w:r>
      <w:r>
        <w:t>nancial expectations.</w:t>
      </w:r>
    </w:p>
    <w:p w:rsidR="00556A1D" w:rsidRDefault="002F7688">
      <w:pPr>
        <w:jc w:val="both"/>
      </w:pPr>
      <w:r>
        <w:t>This focused secondary analysis of the broader doctoral dataset examines a distinct question concerning the social settings in which infertility-related distress occurs and psychoeducation may be delivered. Its purpose is to examine t</w:t>
      </w:r>
      <w:r>
        <w:t>he rationale for psychoeducation beyond the clinic and develop an evidence-informed framework for family, community and faith-based delivery. It asks four questions: Which social-context findings indicate a need for wider psychoeducation? Which psychoeduca</w:t>
      </w:r>
      <w:r>
        <w:t>tion functions received the strongest and weakest ratings? How do participants describe family, community and faith as sources of both risk and support? What safeguards are necessary when psychosocial education moves into non-clinical settings?</w:t>
      </w:r>
    </w:p>
    <w:p w:rsidR="00556A1D" w:rsidRDefault="002F7688">
      <w:pPr>
        <w:pStyle w:val="Heading1"/>
        <w:spacing w:line="360" w:lineRule="auto"/>
        <w:rPr>
          <w:szCs w:val="26"/>
        </w:rPr>
      </w:pPr>
      <w:r>
        <w:rPr>
          <w:szCs w:val="26"/>
        </w:rPr>
        <w:lastRenderedPageBreak/>
        <w:t>2. Conceptu</w:t>
      </w:r>
      <w:r>
        <w:rPr>
          <w:szCs w:val="26"/>
        </w:rPr>
        <w:t>al and Empirical Background</w:t>
      </w:r>
    </w:p>
    <w:p w:rsidR="00556A1D" w:rsidRDefault="002F7688">
      <w:pPr>
        <w:pStyle w:val="Heading2"/>
        <w:spacing w:line="360" w:lineRule="auto"/>
        <w:rPr>
          <w:sz w:val="26"/>
        </w:rPr>
      </w:pPr>
      <w:r>
        <w:rPr>
          <w:sz w:val="26"/>
        </w:rPr>
        <w:t>2.1 Infertility as a socially distributed stressor</w:t>
      </w:r>
    </w:p>
    <w:p w:rsidR="00556A1D" w:rsidRDefault="002F7688">
      <w:pPr>
        <w:jc w:val="both"/>
      </w:pPr>
      <w:r>
        <w:t>The biopsychosocial model provides a useful starting point because it challenges a strict separation between biological disease and social experience (Engel, 1977). In infertili</w:t>
      </w:r>
      <w:r>
        <w:t>ty, the reproductive impairment may be located in biological processes, but the consequences are interpreted through relationships, norms and resources. Stress-and-coping theory further suggests that distress depends partly on how demands are appraised rel</w:t>
      </w:r>
      <w:r>
        <w:t>ative to available resources (Lazarus &amp; Folkman, 1984). A blaming family can increase demands; a supportive family can increase resources. The same logic applies to communities and faith networks.</w:t>
      </w:r>
    </w:p>
    <w:p w:rsidR="00556A1D" w:rsidRDefault="002F7688">
      <w:pPr>
        <w:jc w:val="both"/>
      </w:pPr>
      <w:r>
        <w:t>African infertility scholarship makes this social dimension</w:t>
      </w:r>
      <w:r>
        <w:t xml:space="preserve"> especially visible. Dyer et al. (2002, 2004, 2005, 2009) documented gendered social consequences among women and men in South Africa. Tabong and Adongo (2013) showed how childbearing and childlessness acquire social meaning within family and community sys</w:t>
      </w:r>
      <w:r>
        <w:t>tems in Northern Ghana. Asiimwe et al. (2022) described stigma, relationship dysfunction, grief and low support among Ugandan women. Roomaney et al. (2024), reviewing psychosocial studies across African countries, identified recurring themes of stigma, soc</w:t>
      </w:r>
      <w:r>
        <w:t>iocultural meanings, barriers to care and quality of life while also highlighting major geographic gaps. South Sudan is one of the contexts for which country-specific evidence remains limited.</w:t>
      </w:r>
    </w:p>
    <w:p w:rsidR="00556A1D" w:rsidRDefault="002F7688">
      <w:pPr>
        <w:jc w:val="both"/>
      </w:pPr>
      <w:r>
        <w:t>The Juba findings do not represent every South Sudanese communi</w:t>
      </w:r>
      <w:r>
        <w:t>ty; rather, they illustrate how several social mechanisms operated in one urban study population. Stigma, cultural pressure, restricted disclosure and family-support differences demonstrate that psychosocial distress was not contained within individuals. T</w:t>
      </w:r>
      <w:r>
        <w:t>hese mechanisms create an intervention target that sits between private counselling and broad public-health messaging.</w:t>
      </w:r>
    </w:p>
    <w:p w:rsidR="00556A1D" w:rsidRDefault="002F7688">
      <w:pPr>
        <w:pStyle w:val="Heading2"/>
        <w:spacing w:line="360" w:lineRule="auto"/>
        <w:rPr>
          <w:sz w:val="26"/>
        </w:rPr>
      </w:pPr>
      <w:r>
        <w:rPr>
          <w:sz w:val="26"/>
        </w:rPr>
        <w:t>2.2 Family systems: support, surveillance and reproductive expectations</w:t>
      </w:r>
    </w:p>
    <w:p w:rsidR="00556A1D" w:rsidRDefault="002F7688">
      <w:pPr>
        <w:jc w:val="both"/>
      </w:pPr>
      <w:r>
        <w:t xml:space="preserve">Families can function as treatment resources. They may pay fees, </w:t>
      </w:r>
      <w:r>
        <w:t>contribute transport, accompany patients, pray with the couple or reduce household demands during treatment. The association observed in the parent study between regular family financial support and lower distress is consistent with a potentially protectiv</w:t>
      </w:r>
      <w:r>
        <w:t>e role. Financial support can also signal acceptance: relatives who contribute to care may communicate that infertility is a legitimate health problem and that the couple remains valued despite childlessness.</w:t>
      </w:r>
    </w:p>
    <w:p w:rsidR="00556A1D" w:rsidRDefault="002F7688">
      <w:pPr>
        <w:jc w:val="both"/>
      </w:pPr>
      <w:r>
        <w:t>Yet family involvement is not intrinsically the</w:t>
      </w:r>
      <w:r>
        <w:t>rapeutic. Extended families may question the couple repeatedly, assign blame, pressure one partner to leave, propose another marriage, recommend non-medical explanations or circulate private information. Dyer et al. (2002) and Tabong and Adongo (2013) demo</w:t>
      </w:r>
      <w:r>
        <w:t>nstrate that family expectations can destabilise relationships and intensify the social meaning of infertility. The Juba study similarly identified family/community stigma as the strongest psychosocial domain and recorded qualitative references to rejectio</w:t>
      </w:r>
      <w:r>
        <w:t>n, curses and in-law accusations.</w:t>
      </w:r>
    </w:p>
    <w:p w:rsidR="00556A1D" w:rsidRDefault="002F7688">
      <w:pPr>
        <w:jc w:val="both"/>
      </w:pPr>
      <w:r>
        <w:t>Family psychoeducation therefore needs a consent-based structure. It should not invite relatives into clinical conversations by default. Instead, couples should be asked whether they want family involvement, who they trust</w:t>
      </w:r>
      <w:r>
        <w:t>, what information can be shared and what support they need. A useful family session might explain that infertility can involve female, male, combined or unexplained factors; that blame is medically inappropriate; that emotional reactions are common; and t</w:t>
      </w:r>
      <w:r>
        <w:t>hat practical support should not become control over treatment decisions.</w:t>
      </w:r>
    </w:p>
    <w:p w:rsidR="00556A1D" w:rsidRDefault="002F7688">
      <w:pPr>
        <w:pStyle w:val="Heading2"/>
        <w:spacing w:line="360" w:lineRule="auto"/>
        <w:rPr>
          <w:sz w:val="26"/>
        </w:rPr>
      </w:pPr>
      <w:r>
        <w:rPr>
          <w:sz w:val="26"/>
        </w:rPr>
        <w:t>2.3 Community narratives, stigma and the limits of individual counselling</w:t>
      </w:r>
    </w:p>
    <w:p w:rsidR="00556A1D" w:rsidRDefault="002F7688">
      <w:pPr>
        <w:jc w:val="both"/>
      </w:pPr>
      <w:r>
        <w:t xml:space="preserve">Stigma changes behaviour as well as emotion. Xie et al. (2023) linked infertility stigma with poorer mental </w:t>
      </w:r>
      <w:r>
        <w:t>health and quality of life, while Ekpor et al. (2025) synthesised African evidence showing persistent infertility-related stigma across multiple countries. When couples expect gossip or ridicule they may avoid social gatherings, conceal treatment, delay he</w:t>
      </w:r>
      <w:r>
        <w:t xml:space="preserve">lp-seeking or </w:t>
      </w:r>
      <w:r>
        <w:lastRenderedPageBreak/>
        <w:t>restrict disclosure to a small circle. Individual counselling can help a person manage these pressures, but it cannot by itself change the community messages that repeatedly recreate them.</w:t>
      </w:r>
    </w:p>
    <w:p w:rsidR="00556A1D" w:rsidRDefault="002F7688">
      <w:pPr>
        <w:jc w:val="both"/>
      </w:pPr>
      <w:r>
        <w:t>Community psychoeducation can address general misconc</w:t>
      </w:r>
      <w:r>
        <w:t>eptions without exposing individual couples. Messages can clarify that infertility is a health condition, that it can affect either partner and that the absence of children does not justify ridicule, accusations or coercion. They can normalise psychologica</w:t>
      </w:r>
      <w:r>
        <w:t>l support and emphasise that counselling addresses the effects of infertility rather than implying that psychological distress caused the reproductive problem. In this sense, community psychoeducation is an anti-stigma intervention and a health-literacy in</w:t>
      </w:r>
      <w:r>
        <w:t>tervention at the same time.</w:t>
      </w:r>
    </w:p>
    <w:p w:rsidR="00556A1D" w:rsidRDefault="002F7688">
      <w:pPr>
        <w:jc w:val="both"/>
      </w:pPr>
      <w:r>
        <w:t>The delivery channel matters. Public campaigns that are too explicit may make people fear identification. Small-group dialogues may become intrusive. Radio can reach many people but offers limited opportunity for clarification.</w:t>
      </w:r>
      <w:r>
        <w:t xml:space="preserve"> Health-worker outreach may carry medical credibility but be constrained by staffing. No single channel is ideal. These findings support consideration of a flexible mix of brief clinic-linked education, radio messaging, community dialogue and support group</w:t>
      </w:r>
      <w:r>
        <w:t>s, adapted to language, literacy, privacy and local service capacity.</w:t>
      </w:r>
    </w:p>
    <w:p w:rsidR="00556A1D" w:rsidRDefault="002F7688">
      <w:pPr>
        <w:pStyle w:val="Heading2"/>
        <w:spacing w:line="360" w:lineRule="auto"/>
        <w:rPr>
          <w:sz w:val="26"/>
        </w:rPr>
      </w:pPr>
      <w:r>
        <w:rPr>
          <w:sz w:val="26"/>
        </w:rPr>
        <w:t>2.4 Faith, meaning and reproductive uncertainty</w:t>
      </w:r>
    </w:p>
    <w:p w:rsidR="00556A1D" w:rsidRDefault="002F7688">
      <w:pPr>
        <w:jc w:val="both"/>
      </w:pPr>
      <w:r>
        <w:t>Religion may shape infertility experience through meaning, hope, prayer, moral interpretation and access to supportive communities. In the</w:t>
      </w:r>
      <w:r>
        <w:t xml:space="preserve"> Juba sample, 78% identified as Christian and 22% as Muslim. This distribution demonstrates that religious affiliation was salient but does not establish differences in distress or coping between groups. The study did not provide a comparative inferential </w:t>
      </w:r>
      <w:r>
        <w:t>analysis by religion, and this article therefore avoids ranking or attributing outcomes to religious affiliation.</w:t>
      </w:r>
    </w:p>
    <w:p w:rsidR="00556A1D" w:rsidRDefault="002F7688">
      <w:pPr>
        <w:jc w:val="both"/>
      </w:pPr>
      <w:r>
        <w:t>Faith can strengthen coping by providing hope, ritual, trusted relationships and a language for enduring uncertainty. Participants referred to</w:t>
      </w:r>
      <w:r>
        <w:t xml:space="preserve"> prayer, church activities and community support as coping resources. Religious leaders may also be approachable in settings where specialist psychological services are scarce. They can potentially reinforce messages that blame is harmful, both partners de</w:t>
      </w:r>
      <w:r>
        <w:t>serve respect and professional help is compatible with faith.</w:t>
      </w:r>
    </w:p>
    <w:p w:rsidR="00556A1D" w:rsidRDefault="002F7688">
      <w:pPr>
        <w:jc w:val="both"/>
      </w:pPr>
      <w:r>
        <w:t>Faith-based support can also become harmful if it spiritualises causation in a way that increases shame or discourages care. Psychoeducation should therefore distinguish spiritual support from u</w:t>
      </w:r>
      <w:r>
        <w:t xml:space="preserve">nverified claims that infertility is a curse, punishment or proof of moral failure. It should avoid promises that prayer or positive thinking will guarantee pregnancy. Collaboration with religious actors should be designed around supportive communication, </w:t>
      </w:r>
      <w:r>
        <w:t>accurate referral and respect for medical autonomy rather than theological adjudication of infertility.</w:t>
      </w:r>
    </w:p>
    <w:p w:rsidR="00556A1D" w:rsidRDefault="002F7688">
      <w:pPr>
        <w:pStyle w:val="Heading2"/>
        <w:spacing w:line="360" w:lineRule="auto"/>
        <w:rPr>
          <w:sz w:val="26"/>
        </w:rPr>
      </w:pPr>
      <w:r>
        <w:rPr>
          <w:sz w:val="26"/>
        </w:rPr>
        <w:t>2.5 Psychoeducation as a bridge between knowledge and social response</w:t>
      </w:r>
    </w:p>
    <w:p w:rsidR="00556A1D" w:rsidRDefault="002F7688">
      <w:pPr>
        <w:jc w:val="both"/>
      </w:pPr>
      <w:r>
        <w:t>Psychoeducation combines information with preparation, coping guidance and pathway</w:t>
      </w:r>
      <w:r>
        <w:t xml:space="preserve">s to help. Gameiro et al. (2015) recommend routine psychosocial care across emotional, behavioural, relational and cognitive domains. Boivin and Gameiro (2015) trace the broader evolution of psychology and counselling in fertility care, while intervention </w:t>
      </w:r>
      <w:r>
        <w:t>evidence suggests that structured psychological approaches can improve selected mental-health and coping outcomes even though effects differ by intervention and endpoint (Hämmerli et al., 2009; Dube et al., 2023).</w:t>
      </w:r>
    </w:p>
    <w:p w:rsidR="00556A1D" w:rsidRDefault="002F7688">
      <w:pPr>
        <w:jc w:val="both"/>
      </w:pPr>
      <w:r>
        <w:t>The distinctive contribution of the Juba s</w:t>
      </w:r>
      <w:r>
        <w:t>tudy is that participants did not confine psychoeducation to professional encounters. They explicitly connected it to family, church, community awareness and social support. This indicates that psychoeducation may function as a bridge: accurate information</w:t>
      </w:r>
      <w:r>
        <w:t xml:space="preserve"> remains anchored in clinical care while being communicated into the ordinary relationships where stigma, disclosure and coping are negotiated. The challenge is to extend reach without diluting accuracy or confidentiality.</w:t>
      </w:r>
    </w:p>
    <w:p w:rsidR="00556A1D" w:rsidRDefault="002F7688">
      <w:pPr>
        <w:pStyle w:val="Heading1"/>
        <w:rPr>
          <w:szCs w:val="26"/>
        </w:rPr>
      </w:pPr>
      <w:r>
        <w:rPr>
          <w:szCs w:val="26"/>
        </w:rPr>
        <w:lastRenderedPageBreak/>
        <w:t>3. Methods</w:t>
      </w:r>
    </w:p>
    <w:p w:rsidR="00556A1D" w:rsidRDefault="002F7688">
      <w:pPr>
        <w:pStyle w:val="Heading2"/>
        <w:rPr>
          <w:sz w:val="26"/>
        </w:rPr>
      </w:pPr>
      <w:r>
        <w:rPr>
          <w:sz w:val="26"/>
        </w:rPr>
        <w:t>3.1 Study design and s</w:t>
      </w:r>
      <w:r>
        <w:rPr>
          <w:sz w:val="26"/>
        </w:rPr>
        <w:t>etting</w:t>
      </w:r>
    </w:p>
    <w:p w:rsidR="00556A1D" w:rsidRDefault="002F7688">
      <w:pPr>
        <w:jc w:val="both"/>
      </w:pPr>
      <w:r>
        <w:t>The parent doctoral study adopted a pragmatist, convergent mixed-methods, cross-sectional design. Quantitative and qualitative evidence was gathered within the same broad project and integrated during interpretation. The present article is a focused</w:t>
      </w:r>
      <w:r>
        <w:t xml:space="preserve"> secondary analysis of findings relevant to family, community and faith-based psychoeducation. It does not introduce new participants, invent new variables or treat the original observational study as an intervention trial.</w:t>
      </w:r>
    </w:p>
    <w:p w:rsidR="00556A1D" w:rsidRDefault="002F7688">
      <w:pPr>
        <w:jc w:val="both"/>
      </w:pPr>
      <w:r>
        <w:t>The study was conducted in Juba,</w:t>
      </w:r>
      <w:r>
        <w:t xml:space="preserve"> South Sudan. The setting is characterised by constrained specialist infertility and mental-health services, economic pressures and broader health-system limitations. The paper uses 'South Sudan' in the title because the study contributes South Sudan-speci</w:t>
      </w:r>
      <w:r>
        <w:t>fic evidence, but the empirical sample was located in Juba and should not be treated as nationally representative.</w:t>
      </w:r>
    </w:p>
    <w:p w:rsidR="00556A1D" w:rsidRDefault="002F7688">
      <w:pPr>
        <w:pStyle w:val="Heading2"/>
        <w:rPr>
          <w:sz w:val="26"/>
        </w:rPr>
      </w:pPr>
      <w:r>
        <w:rPr>
          <w:sz w:val="26"/>
        </w:rPr>
        <w:t>3.2 Participants and analytical unit</w:t>
      </w:r>
    </w:p>
    <w:p w:rsidR="00556A1D" w:rsidRDefault="002F7688">
      <w:pPr>
        <w:jc w:val="both"/>
      </w:pPr>
      <w:r>
        <w:t>The sampling framework targeted 50 couples (100 individuals), and the final analytical database containe</w:t>
      </w:r>
      <w:r>
        <w:t>d 100 individual records. Complete dyadic identifiers were not available for all observations. Statistical analyses therefore used the individual participant as the analytical unit and did not assume that all data could be represented as 50 matched partner</w:t>
      </w:r>
      <w:r>
        <w:t xml:space="preserve"> pairs. This limitation is particularly relevant when discussing family and faith contexts because the study cannot determine whether both partners in a relationship shared the same support network or religious interpretation.</w:t>
      </w:r>
    </w:p>
    <w:p w:rsidR="00556A1D" w:rsidRDefault="002F7688">
      <w:pPr>
        <w:jc w:val="both"/>
      </w:pPr>
      <w:r>
        <w:t xml:space="preserve">The sample included 55 women </w:t>
      </w:r>
      <w:r>
        <w:t>and 45 men. Of the participants, 78 identified as Christian and 22 as Muslim. Seventeen participants reported regular family financial support and 83 did not. These variables were descriptive and contextual; these characteristics were not interpreted causa</w:t>
      </w:r>
      <w:r>
        <w:t>lly.</w:t>
      </w:r>
    </w:p>
    <w:p w:rsidR="00556A1D" w:rsidRDefault="002F7688">
      <w:pPr>
        <w:pStyle w:val="Heading2"/>
        <w:rPr>
          <w:sz w:val="26"/>
        </w:rPr>
      </w:pPr>
      <w:r>
        <w:rPr>
          <w:sz w:val="26"/>
        </w:rPr>
        <w:t>3.3 Focal constructs and measures</w:t>
      </w:r>
    </w:p>
    <w:p w:rsidR="00556A1D" w:rsidRDefault="002F7688">
      <w:pPr>
        <w:jc w:val="both"/>
      </w:pPr>
      <w:r>
        <w:t>The broader assessment covered treatment experiences, cultural and religious beliefs, family and community relationships, socioeconomic pressure, marital and sexual experiences, coping, mental-health manifestations, h</w:t>
      </w:r>
      <w:r>
        <w:t>elp-seeking and psychoeducation needs. For the present article, the principal psychosocial indicators were family/community stigma, cultural pressure and social withdrawal. The principal psychoeducation indicators were recognition of psychological effects,</w:t>
      </w:r>
      <w:r>
        <w:t xml:space="preserve"> adaptive coping and resilience, stress-management knowledge, communication/support, correction of myths and community misconceptions, and professional help-seeking.</w:t>
      </w:r>
    </w:p>
    <w:p w:rsidR="00556A1D" w:rsidRDefault="002F7688">
      <w:pPr>
        <w:jc w:val="both"/>
      </w:pPr>
      <w:r>
        <w:t>Coded psychoeducation indicators used a five-level intensity framework in which 1 indicate</w:t>
      </w:r>
      <w:r>
        <w:t xml:space="preserve">d no or minimal evidence and 5 indicated very strong evidence. This framework was derived for the doctoral analysis rather than presented as a previously validated psychometric scale. Means and percentages therefore describe the study coding structure and </w:t>
      </w:r>
      <w:r>
        <w:t>should not be interpreted as normative clinical cut-offs.</w:t>
      </w:r>
    </w:p>
    <w:p w:rsidR="00556A1D" w:rsidRDefault="002F7688">
      <w:pPr>
        <w:pStyle w:val="Heading2"/>
        <w:rPr>
          <w:sz w:val="26"/>
        </w:rPr>
      </w:pPr>
      <w:r>
        <w:rPr>
          <w:sz w:val="26"/>
        </w:rPr>
        <w:t>3.4 Quantitative analysis</w:t>
      </w:r>
    </w:p>
    <w:p w:rsidR="00556A1D" w:rsidRDefault="002F7688">
      <w:pPr>
        <w:jc w:val="both"/>
      </w:pPr>
      <w:r>
        <w:t>Descriptive statistics summarised frequencies, percentages, means and standard deviations. High or very-high intensity referred to coding levels 4 and 5. Religious affiliat</w:t>
      </w:r>
      <w:r>
        <w:t xml:space="preserve">ion was described using frequency and percentage only. A chi-square test assessed the association between regular family financial support and psychosocial distress classification, with Cramer's V indicating association magnitude. The parent analysis also </w:t>
      </w:r>
      <w:r>
        <w:t>included correlation and regression models of psychoeducation and adaptive coping, but those models are used in this article only to contextualise the broader psychoeducation framework rather than to claim community-level causation.</w:t>
      </w:r>
    </w:p>
    <w:p w:rsidR="00556A1D" w:rsidRDefault="002F7688">
      <w:pPr>
        <w:jc w:val="both"/>
      </w:pPr>
      <w:r>
        <w:t>No inferential comparis</w:t>
      </w:r>
      <w:r>
        <w:t xml:space="preserve">on between Christian and Muslim participants was reported for the focal outcomes. No intervention exposure variable identified who actually received family-, community- or faith-based psychoeducation. Consequently, the </w:t>
      </w:r>
      <w:r>
        <w:lastRenderedPageBreak/>
        <w:t xml:space="preserve">results support programme design and </w:t>
      </w:r>
      <w:r>
        <w:t>hypothesis generation, not statements that such interventions have already been proven effective in Juba.</w:t>
      </w:r>
    </w:p>
    <w:p w:rsidR="00556A1D" w:rsidRDefault="002F7688">
      <w:pPr>
        <w:pStyle w:val="Heading2"/>
        <w:rPr>
          <w:sz w:val="26"/>
        </w:rPr>
      </w:pPr>
      <w:r>
        <w:rPr>
          <w:sz w:val="26"/>
        </w:rPr>
        <w:t>3.5 Qualitative analysis and mixed-methods integration</w:t>
      </w:r>
    </w:p>
    <w:p w:rsidR="00556A1D" w:rsidRDefault="002F7688">
      <w:pPr>
        <w:jc w:val="both"/>
      </w:pPr>
      <w:r>
        <w:t>Open-ended responses were examined through reflexive thematic analysis informed by Braun and Cl</w:t>
      </w:r>
      <w:r>
        <w:t>arke (2006, 2021). Relevant themes included family/community stigma, communication and support, community awareness, professional help-seeking, treatment information, adaptive coping and resilience. Theme counts refer to coded responses rather than mutuall</w:t>
      </w:r>
      <w:r>
        <w:t>y exclusive participant prevalence because one response could contribute to multiple themes.</w:t>
      </w:r>
    </w:p>
    <w:p w:rsidR="00556A1D" w:rsidRDefault="002F7688">
      <w:pPr>
        <w:jc w:val="both"/>
      </w:pPr>
      <w:r>
        <w:t>Mixed-methods integration compared quantitative intensity with qualitative meaning. High stigma scores were interpreted alongside accounts of gendered blame, accus</w:t>
      </w:r>
      <w:r>
        <w:t>ations of curses and social judgement. Psychoeducation scores were interpreted alongside calls for awareness in family, church and community settings. Family financial-support findings were interpreted alongside descriptions of support as both practical as</w:t>
      </w:r>
      <w:r>
        <w:t>sistance and psychosocial acceptance.</w:t>
      </w:r>
    </w:p>
    <w:p w:rsidR="00556A1D" w:rsidRDefault="002F7688">
      <w:pPr>
        <w:pStyle w:val="Heading2"/>
        <w:rPr>
          <w:sz w:val="26"/>
        </w:rPr>
      </w:pPr>
      <w:r>
        <w:rPr>
          <w:sz w:val="26"/>
        </w:rPr>
        <w:t>3.6 Ethical considerations</w:t>
      </w:r>
    </w:p>
    <w:p w:rsidR="00556A1D" w:rsidRDefault="002F7688">
      <w:pPr>
        <w:jc w:val="both"/>
      </w:pPr>
      <w:r>
        <w:t>Ethical approval was obtained through Ahfad University for Women together with the required administrative permission in Juba. Participants gave informed consent. Sensitive areas included sex</w:t>
      </w:r>
      <w:r>
        <w:t>uality, family conflict, stigma, mental-health symptoms and self-harm, making privacy and referral procedures important. Quotations in this paper use anonymised study identifiers. Extending psychoeducation beyond the clinic raises additional ethical consid</w:t>
      </w:r>
      <w:r>
        <w:t>erations discussed later, including consent for family involvement and the need to avoid disclosure through community or faith-based delivery.</w:t>
      </w:r>
    </w:p>
    <w:p w:rsidR="00556A1D" w:rsidRDefault="002F7688">
      <w:pPr>
        <w:pStyle w:val="Heading1"/>
      </w:pPr>
      <w:r>
        <w:t>4. Results</w:t>
      </w:r>
    </w:p>
    <w:p w:rsidR="00556A1D" w:rsidRDefault="002F7688">
      <w:pPr>
        <w:pStyle w:val="Heading2"/>
        <w:rPr>
          <w:sz w:val="26"/>
        </w:rPr>
      </w:pPr>
      <w:r>
        <w:rPr>
          <w:sz w:val="26"/>
        </w:rPr>
        <w:t>4.1 Participant characteristics relevant to social and faith-based delivery</w:t>
      </w:r>
    </w:p>
    <w:p w:rsidR="00556A1D" w:rsidRDefault="002F7688">
      <w:pPr>
        <w:pStyle w:val="Caption"/>
        <w:rPr>
          <w:color w:val="auto"/>
          <w:sz w:val="20"/>
          <w:szCs w:val="20"/>
        </w:rPr>
      </w:pPr>
      <w:r>
        <w:rPr>
          <w:color w:val="auto"/>
          <w:sz w:val="20"/>
          <w:szCs w:val="20"/>
        </w:rPr>
        <w:t>Table 1. Selected characte</w:t>
      </w:r>
      <w:r>
        <w:rPr>
          <w:color w:val="auto"/>
          <w:sz w:val="20"/>
          <w:szCs w:val="20"/>
        </w:rPr>
        <w:t>ristics relevant to family, community and faith-based psychoeducation</w:t>
      </w:r>
    </w:p>
    <w:tbl>
      <w:tblPr>
        <w:tblStyle w:val="LightShading-Accent1"/>
        <w:tblW w:w="0" w:type="auto"/>
        <w:jc w:val="center"/>
        <w:tblLook w:val="04A0" w:firstRow="1" w:lastRow="0" w:firstColumn="1" w:lastColumn="0" w:noHBand="0" w:noVBand="1"/>
      </w:tblPr>
      <w:tblGrid>
        <w:gridCol w:w="2412"/>
        <w:gridCol w:w="2412"/>
        <w:gridCol w:w="2412"/>
        <w:gridCol w:w="2412"/>
      </w:tblGrid>
      <w:tr w:rsidR="00556A1D" w:rsidTr="00556A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2" w:type="dxa"/>
            <w:vAlign w:val="center"/>
          </w:tcPr>
          <w:p w:rsidR="00556A1D" w:rsidRDefault="002F7688">
            <w:pPr>
              <w:rPr>
                <w:color w:val="0F243E" w:themeColor="text2" w:themeShade="80"/>
              </w:rPr>
            </w:pPr>
            <w:r>
              <w:rPr>
                <w:color w:val="0F243E" w:themeColor="text2" w:themeShade="80"/>
              </w:rPr>
              <w:t>Characteristic</w:t>
            </w:r>
          </w:p>
        </w:tc>
        <w:tc>
          <w:tcPr>
            <w:tcW w:w="2412"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rPr>
            </w:pPr>
            <w:r>
              <w:rPr>
                <w:color w:val="0F243E" w:themeColor="text2" w:themeShade="80"/>
              </w:rPr>
              <w:t>Category</w:t>
            </w:r>
          </w:p>
        </w:tc>
        <w:tc>
          <w:tcPr>
            <w:tcW w:w="2412"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rPr>
            </w:pPr>
            <w:r>
              <w:rPr>
                <w:color w:val="0F243E" w:themeColor="text2" w:themeShade="80"/>
              </w:rPr>
              <w:t>n</w:t>
            </w:r>
          </w:p>
        </w:tc>
        <w:tc>
          <w:tcPr>
            <w:tcW w:w="2412"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rPr>
            </w:pPr>
            <w:r>
              <w:rPr>
                <w:color w:val="0F243E" w:themeColor="text2" w:themeShade="80"/>
              </w:rPr>
              <w:t>%</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412" w:type="dxa"/>
            <w:vAlign w:val="center"/>
          </w:tcPr>
          <w:p w:rsidR="00556A1D" w:rsidRDefault="002F7688">
            <w:pPr>
              <w:jc w:val="both"/>
              <w:rPr>
                <w:color w:val="auto"/>
              </w:rPr>
            </w:pPr>
            <w:r>
              <w:rPr>
                <w:color w:val="auto"/>
              </w:rPr>
              <w:t>Gender</w:t>
            </w:r>
          </w:p>
        </w:tc>
        <w:tc>
          <w:tcPr>
            <w:tcW w:w="24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Female</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55</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55.0</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412" w:type="dxa"/>
            <w:vAlign w:val="center"/>
          </w:tcPr>
          <w:p w:rsidR="00556A1D" w:rsidRDefault="002F7688">
            <w:pPr>
              <w:jc w:val="both"/>
              <w:rPr>
                <w:color w:val="auto"/>
              </w:rPr>
            </w:pPr>
            <w:r>
              <w:rPr>
                <w:color w:val="auto"/>
              </w:rPr>
              <w:t>Gender</w:t>
            </w:r>
          </w:p>
        </w:tc>
        <w:tc>
          <w:tcPr>
            <w:tcW w:w="24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Male</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45</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45.0</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412" w:type="dxa"/>
            <w:vAlign w:val="center"/>
          </w:tcPr>
          <w:p w:rsidR="00556A1D" w:rsidRDefault="002F7688">
            <w:pPr>
              <w:jc w:val="both"/>
              <w:rPr>
                <w:color w:val="auto"/>
              </w:rPr>
            </w:pPr>
            <w:r>
              <w:rPr>
                <w:color w:val="auto"/>
              </w:rPr>
              <w:t>Religious affiliation</w:t>
            </w:r>
          </w:p>
        </w:tc>
        <w:tc>
          <w:tcPr>
            <w:tcW w:w="24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Christian</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78</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78.0</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412" w:type="dxa"/>
            <w:vAlign w:val="center"/>
          </w:tcPr>
          <w:p w:rsidR="00556A1D" w:rsidRDefault="002F7688">
            <w:pPr>
              <w:jc w:val="both"/>
              <w:rPr>
                <w:color w:val="auto"/>
              </w:rPr>
            </w:pPr>
            <w:r>
              <w:rPr>
                <w:color w:val="auto"/>
              </w:rPr>
              <w:t>Religious affiliation</w:t>
            </w:r>
          </w:p>
        </w:tc>
        <w:tc>
          <w:tcPr>
            <w:tcW w:w="24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Muslim</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22</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22.0</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412" w:type="dxa"/>
            <w:vAlign w:val="center"/>
          </w:tcPr>
          <w:p w:rsidR="00556A1D" w:rsidRDefault="002F7688">
            <w:pPr>
              <w:jc w:val="both"/>
              <w:rPr>
                <w:color w:val="auto"/>
              </w:rPr>
            </w:pPr>
            <w:r>
              <w:rPr>
                <w:color w:val="auto"/>
              </w:rPr>
              <w:t>Regular family financial support</w:t>
            </w:r>
          </w:p>
        </w:tc>
        <w:tc>
          <w:tcPr>
            <w:tcW w:w="24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No</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83</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83.0</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412" w:type="dxa"/>
            <w:vAlign w:val="center"/>
          </w:tcPr>
          <w:p w:rsidR="00556A1D" w:rsidRDefault="002F7688">
            <w:pPr>
              <w:jc w:val="both"/>
              <w:rPr>
                <w:color w:val="auto"/>
              </w:rPr>
            </w:pPr>
            <w:r>
              <w:rPr>
                <w:color w:val="auto"/>
              </w:rPr>
              <w:t>Regular family financial support</w:t>
            </w:r>
          </w:p>
        </w:tc>
        <w:tc>
          <w:tcPr>
            <w:tcW w:w="24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Yes</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17</w:t>
            </w:r>
          </w:p>
        </w:tc>
        <w:tc>
          <w:tcPr>
            <w:tcW w:w="2412"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17.0</w:t>
            </w:r>
          </w:p>
        </w:tc>
      </w:tr>
    </w:tbl>
    <w:p w:rsidR="00556A1D" w:rsidRDefault="00556A1D"/>
    <w:p w:rsidR="00556A1D" w:rsidRDefault="002F7688">
      <w:pPr>
        <w:jc w:val="both"/>
      </w:pPr>
      <w:r>
        <w:t>The sample included women and men from two religious groups, although Christians constituted the majority. Regular family financial support was uncommon. These characteristics demonstrate the relev</w:t>
      </w:r>
      <w:r>
        <w:t>ance of family and faith contexts but do not support causal or comparative conclusions about religion.</w:t>
      </w:r>
    </w:p>
    <w:p w:rsidR="00556A1D" w:rsidRDefault="002F7688">
      <w:pPr>
        <w:jc w:val="both"/>
      </w:pPr>
      <w:r>
        <w:t>Christian participants constituted 78% of the analytical sample and Muslim participants 22%. The distribution supports faith-sensitive programme design b</w:t>
      </w:r>
      <w:r>
        <w:t>ut not a claim that psychosocial experiences differed by religious affiliation, because the focal thesis analyses did not test that question.</w:t>
      </w:r>
    </w:p>
    <w:p w:rsidR="00556A1D" w:rsidRDefault="002F7688">
      <w:pPr>
        <w:pStyle w:val="Heading2"/>
        <w:rPr>
          <w:sz w:val="26"/>
        </w:rPr>
      </w:pPr>
      <w:r>
        <w:rPr>
          <w:sz w:val="26"/>
        </w:rPr>
        <w:lastRenderedPageBreak/>
        <w:t>4.2 Social-context burden extended beyond the clinic</w:t>
      </w:r>
    </w:p>
    <w:p w:rsidR="00556A1D" w:rsidRDefault="002F7688">
      <w:pPr>
        <w:pStyle w:val="Caption"/>
        <w:rPr>
          <w:color w:val="auto"/>
          <w:sz w:val="20"/>
          <w:szCs w:val="20"/>
        </w:rPr>
      </w:pPr>
      <w:r>
        <w:rPr>
          <w:color w:val="auto"/>
          <w:sz w:val="20"/>
          <w:szCs w:val="20"/>
        </w:rPr>
        <w:t>Table 2. Selected social-context psychosocial indicators</w:t>
      </w:r>
    </w:p>
    <w:tbl>
      <w:tblPr>
        <w:tblStyle w:val="LightShading-Accent1"/>
        <w:tblW w:w="0" w:type="auto"/>
        <w:jc w:val="center"/>
        <w:tblLook w:val="04A0" w:firstRow="1" w:lastRow="0" w:firstColumn="1" w:lastColumn="0" w:noHBand="0" w:noVBand="1"/>
      </w:tblPr>
      <w:tblGrid>
        <w:gridCol w:w="2110"/>
        <w:gridCol w:w="1608"/>
        <w:gridCol w:w="1608"/>
        <w:gridCol w:w="1608"/>
        <w:gridCol w:w="1608"/>
        <w:gridCol w:w="1833"/>
      </w:tblGrid>
      <w:tr w:rsidR="00556A1D" w:rsidTr="00556A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10" w:type="dxa"/>
            <w:vAlign w:val="center"/>
          </w:tcPr>
          <w:p w:rsidR="00556A1D" w:rsidRDefault="002F7688">
            <w:pPr>
              <w:rPr>
                <w:color w:val="0F243E" w:themeColor="text2" w:themeShade="80"/>
                <w:sz w:val="20"/>
                <w:szCs w:val="20"/>
              </w:rPr>
            </w:pPr>
            <w:r>
              <w:rPr>
                <w:color w:val="0F243E" w:themeColor="text2" w:themeShade="80"/>
                <w:sz w:val="20"/>
                <w:szCs w:val="20"/>
              </w:rPr>
              <w:t>Domain</w:t>
            </w:r>
          </w:p>
        </w:tc>
        <w:tc>
          <w:tcPr>
            <w:tcW w:w="1608"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N</w:t>
            </w:r>
          </w:p>
        </w:tc>
        <w:tc>
          <w:tcPr>
            <w:tcW w:w="1608"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Mean</w:t>
            </w:r>
          </w:p>
        </w:tc>
        <w:tc>
          <w:tcPr>
            <w:tcW w:w="1608"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SD</w:t>
            </w:r>
          </w:p>
        </w:tc>
        <w:tc>
          <w:tcPr>
            <w:tcW w:w="1608"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High/very high n (%)</w:t>
            </w:r>
          </w:p>
        </w:tc>
        <w:tc>
          <w:tcPr>
            <w:tcW w:w="1833"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Interpretation</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110" w:type="dxa"/>
            <w:vAlign w:val="center"/>
          </w:tcPr>
          <w:p w:rsidR="00556A1D" w:rsidRDefault="002F7688">
            <w:pPr>
              <w:rPr>
                <w:color w:val="auto"/>
                <w:sz w:val="20"/>
                <w:szCs w:val="20"/>
              </w:rPr>
            </w:pPr>
            <w:r>
              <w:rPr>
                <w:color w:val="auto"/>
                <w:sz w:val="20"/>
                <w:szCs w:val="20"/>
              </w:rPr>
              <w:t>Family/community stigma</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100</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3.95</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0.72</w:t>
            </w:r>
          </w:p>
        </w:tc>
        <w:tc>
          <w:tcPr>
            <w:tcW w:w="1608"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81 (81.0)</w:t>
            </w:r>
          </w:p>
        </w:tc>
        <w:tc>
          <w:tcPr>
            <w:tcW w:w="1833"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High; strongest psychosocial domain</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110" w:type="dxa"/>
            <w:vAlign w:val="center"/>
          </w:tcPr>
          <w:p w:rsidR="00556A1D" w:rsidRDefault="002F7688">
            <w:pPr>
              <w:rPr>
                <w:color w:val="auto"/>
                <w:sz w:val="20"/>
                <w:szCs w:val="20"/>
              </w:rPr>
            </w:pPr>
            <w:r>
              <w:rPr>
                <w:color w:val="auto"/>
                <w:sz w:val="20"/>
                <w:szCs w:val="20"/>
              </w:rPr>
              <w:t>Cultural pressure</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100</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3.62</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0.93</w:t>
            </w:r>
          </w:p>
        </w:tc>
        <w:tc>
          <w:tcPr>
            <w:tcW w:w="1608"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57 (57.0)</w:t>
            </w:r>
          </w:p>
        </w:tc>
        <w:tc>
          <w:tcPr>
            <w:tcW w:w="1833"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High</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110" w:type="dxa"/>
            <w:vAlign w:val="center"/>
          </w:tcPr>
          <w:p w:rsidR="00556A1D" w:rsidRDefault="002F7688">
            <w:pPr>
              <w:rPr>
                <w:color w:val="auto"/>
                <w:sz w:val="20"/>
                <w:szCs w:val="20"/>
              </w:rPr>
            </w:pPr>
            <w:r>
              <w:rPr>
                <w:color w:val="auto"/>
                <w:sz w:val="20"/>
                <w:szCs w:val="20"/>
              </w:rPr>
              <w:t>Social withdrawal / restricted help-seeking</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100</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1.07</w:t>
            </w:r>
          </w:p>
        </w:tc>
        <w:tc>
          <w:tcPr>
            <w:tcW w:w="1608"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51 (51.0)</w:t>
            </w:r>
          </w:p>
        </w:tc>
        <w:tc>
          <w:tcPr>
            <w:tcW w:w="1833"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Moderate</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110" w:type="dxa"/>
            <w:vAlign w:val="center"/>
          </w:tcPr>
          <w:p w:rsidR="00556A1D" w:rsidRDefault="002F7688">
            <w:pPr>
              <w:rPr>
                <w:color w:val="auto"/>
                <w:sz w:val="20"/>
                <w:szCs w:val="20"/>
              </w:rPr>
            </w:pPr>
            <w:r>
              <w:rPr>
                <w:color w:val="auto"/>
                <w:sz w:val="20"/>
                <w:szCs w:val="20"/>
              </w:rPr>
              <w:t>Marital/psychosexual strain</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100</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2.79</w:t>
            </w:r>
          </w:p>
        </w:tc>
        <w:tc>
          <w:tcPr>
            <w:tcW w:w="160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0.89</w:t>
            </w:r>
          </w:p>
        </w:tc>
        <w:tc>
          <w:tcPr>
            <w:tcW w:w="1608"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23 (23.0)</w:t>
            </w:r>
          </w:p>
        </w:tc>
        <w:tc>
          <w:tcPr>
            <w:tcW w:w="1833"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Moderate; heterogeneous</w:t>
            </w:r>
          </w:p>
        </w:tc>
      </w:tr>
    </w:tbl>
    <w:p w:rsidR="00556A1D" w:rsidRDefault="00556A1D"/>
    <w:p w:rsidR="00556A1D" w:rsidRDefault="002F7688">
      <w:pPr>
        <w:jc w:val="both"/>
      </w:pPr>
      <w:r>
        <w:t>Interpretation. Stigma and cultural pressure were more prominent than marital strain, suggesting that distress extended beyond the couple into the wider social environm</w:t>
      </w:r>
      <w:r>
        <w:t>ent. More than half of participants were also coded at high or very-high intensity for cultural pressure, and 51% for social withdrawal, creating a clear rationale for psychoeducation that addresses community messages as well as individual coping.</w:t>
      </w:r>
    </w:p>
    <w:p w:rsidR="00556A1D" w:rsidRDefault="002F7688">
      <w:pPr>
        <w:pStyle w:val="Heading2"/>
      </w:pPr>
      <w:r>
        <w:t>4.3 Psyc</w:t>
      </w:r>
      <w:r>
        <w:t>hoeducation priorities: strong individual recognition, weaker community translation</w:t>
      </w:r>
    </w:p>
    <w:p w:rsidR="00556A1D" w:rsidRDefault="002F7688">
      <w:pPr>
        <w:pStyle w:val="Caption"/>
        <w:rPr>
          <w:color w:val="auto"/>
        </w:rPr>
      </w:pPr>
      <w:r>
        <w:rPr>
          <w:color w:val="auto"/>
        </w:rPr>
        <w:t>Table 3. Psychoeducation functions relevant to delivery beyond the clinic</w:t>
      </w:r>
    </w:p>
    <w:tbl>
      <w:tblPr>
        <w:tblStyle w:val="LightShading-Accent1"/>
        <w:tblW w:w="0" w:type="auto"/>
        <w:jc w:val="center"/>
        <w:tblLook w:val="04A0" w:firstRow="1" w:lastRow="0" w:firstColumn="1" w:lastColumn="0" w:noHBand="0" w:noVBand="1"/>
      </w:tblPr>
      <w:tblGrid>
        <w:gridCol w:w="2317"/>
        <w:gridCol w:w="1930"/>
        <w:gridCol w:w="1930"/>
        <w:gridCol w:w="1930"/>
        <w:gridCol w:w="1930"/>
      </w:tblGrid>
      <w:tr w:rsidR="00556A1D" w:rsidTr="00556A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30" w:type="dxa"/>
            <w:vAlign w:val="center"/>
          </w:tcPr>
          <w:p w:rsidR="00556A1D" w:rsidRDefault="002F7688">
            <w:pPr>
              <w:rPr>
                <w:color w:val="0F243E" w:themeColor="text2" w:themeShade="80"/>
                <w:sz w:val="20"/>
                <w:szCs w:val="20"/>
              </w:rPr>
            </w:pPr>
            <w:r>
              <w:rPr>
                <w:color w:val="0F243E" w:themeColor="text2" w:themeShade="80"/>
                <w:sz w:val="20"/>
                <w:szCs w:val="20"/>
              </w:rPr>
              <w:t>Psychoeducation function</w:t>
            </w:r>
          </w:p>
        </w:tc>
        <w:tc>
          <w:tcPr>
            <w:tcW w:w="1930"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Mean</w:t>
            </w:r>
          </w:p>
        </w:tc>
        <w:tc>
          <w:tcPr>
            <w:tcW w:w="1930"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SD</w:t>
            </w:r>
          </w:p>
        </w:tc>
        <w:tc>
          <w:tcPr>
            <w:tcW w:w="1930"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High/very high n (%)</w:t>
            </w:r>
          </w:p>
        </w:tc>
        <w:tc>
          <w:tcPr>
            <w:tcW w:w="1930" w:type="dxa"/>
            <w:vAlign w:val="center"/>
          </w:tcPr>
          <w:p w:rsidR="00556A1D" w:rsidRDefault="002F7688">
            <w:pPr>
              <w:jc w:val="cente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Decision</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930" w:type="dxa"/>
            <w:vAlign w:val="center"/>
          </w:tcPr>
          <w:p w:rsidR="00556A1D" w:rsidRDefault="002F7688">
            <w:pPr>
              <w:rPr>
                <w:color w:val="auto"/>
                <w:sz w:val="20"/>
                <w:szCs w:val="20"/>
              </w:rPr>
            </w:pPr>
            <w:r>
              <w:rPr>
                <w:color w:val="auto"/>
                <w:sz w:val="20"/>
                <w:szCs w:val="20"/>
              </w:rPr>
              <w:t xml:space="preserve">Recognising psychological </w:t>
            </w:r>
            <w:r>
              <w:rPr>
                <w:color w:val="auto"/>
                <w:sz w:val="20"/>
                <w:szCs w:val="20"/>
              </w:rPr>
              <w:t>consequences of infertility</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4.61</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0.63</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97 (97.0)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Very high</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930" w:type="dxa"/>
            <w:vAlign w:val="center"/>
          </w:tcPr>
          <w:p w:rsidR="00556A1D" w:rsidRDefault="002F7688">
            <w:pPr>
              <w:rPr>
                <w:color w:val="auto"/>
                <w:sz w:val="20"/>
                <w:szCs w:val="20"/>
              </w:rPr>
            </w:pPr>
            <w:r>
              <w:rPr>
                <w:color w:val="auto"/>
                <w:sz w:val="20"/>
                <w:szCs w:val="20"/>
              </w:rPr>
              <w:t>Adaptive coping, resilience, self-care and adjustment</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4.47</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0.81</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86 (86.0)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Very high</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930" w:type="dxa"/>
            <w:vAlign w:val="center"/>
          </w:tcPr>
          <w:p w:rsidR="00556A1D" w:rsidRDefault="002F7688">
            <w:pPr>
              <w:rPr>
                <w:color w:val="auto"/>
                <w:sz w:val="20"/>
                <w:szCs w:val="20"/>
              </w:rPr>
            </w:pPr>
            <w:r>
              <w:rPr>
                <w:color w:val="auto"/>
                <w:sz w:val="20"/>
                <w:szCs w:val="20"/>
              </w:rPr>
              <w:t>Stress-management knowledge</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4.12</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1.27</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64 (64.0)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High</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930" w:type="dxa"/>
            <w:vAlign w:val="center"/>
          </w:tcPr>
          <w:p w:rsidR="00556A1D" w:rsidRDefault="002F7688">
            <w:pPr>
              <w:rPr>
                <w:color w:val="auto"/>
                <w:sz w:val="20"/>
                <w:szCs w:val="20"/>
              </w:rPr>
            </w:pPr>
            <w:r>
              <w:rPr>
                <w:color w:val="auto"/>
                <w:sz w:val="20"/>
                <w:szCs w:val="20"/>
              </w:rPr>
              <w:t xml:space="preserve">Communication/support among spouses, families and trusted </w:t>
            </w:r>
            <w:r>
              <w:rPr>
                <w:color w:val="auto"/>
                <w:sz w:val="20"/>
                <w:szCs w:val="20"/>
              </w:rPr>
              <w:t>friends</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3.80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1.22</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72 (72.0)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High</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930" w:type="dxa"/>
            <w:vAlign w:val="center"/>
          </w:tcPr>
          <w:p w:rsidR="00556A1D" w:rsidRDefault="002F7688">
            <w:pPr>
              <w:rPr>
                <w:color w:val="auto"/>
                <w:sz w:val="20"/>
                <w:szCs w:val="20"/>
              </w:rPr>
            </w:pPr>
            <w:r>
              <w:rPr>
                <w:color w:val="auto"/>
                <w:sz w:val="20"/>
                <w:szCs w:val="20"/>
              </w:rPr>
              <w:t>Correcting myths, stigma and community misconceptions</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3.36</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0.70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43 (43.0)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Moderate</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930" w:type="dxa"/>
            <w:vAlign w:val="center"/>
          </w:tcPr>
          <w:p w:rsidR="00556A1D" w:rsidRDefault="002F7688">
            <w:pPr>
              <w:rPr>
                <w:color w:val="auto"/>
                <w:sz w:val="20"/>
                <w:szCs w:val="20"/>
              </w:rPr>
            </w:pPr>
            <w:r>
              <w:rPr>
                <w:color w:val="auto"/>
                <w:sz w:val="20"/>
                <w:szCs w:val="20"/>
              </w:rPr>
              <w:t>Counselling, clinical consultation and professional referral</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3.30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0.82</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37 (37.0)</w:t>
            </w:r>
          </w:p>
        </w:tc>
        <w:tc>
          <w:tcPr>
            <w:tcW w:w="193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Pr>
                <w:color w:val="auto"/>
                <w:sz w:val="20"/>
                <w:szCs w:val="20"/>
              </w:rPr>
              <w:t>Moderate</w:t>
            </w:r>
          </w:p>
        </w:tc>
      </w:tr>
    </w:tbl>
    <w:p w:rsidR="00556A1D" w:rsidRDefault="00556A1D"/>
    <w:p w:rsidR="00556A1D" w:rsidRDefault="002F7688">
      <w:pPr>
        <w:jc w:val="both"/>
      </w:pPr>
      <w:r>
        <w:lastRenderedPageBreak/>
        <w:t xml:space="preserve">Recognition of psychological consequences and </w:t>
      </w:r>
      <w:r>
        <w:t xml:space="preserve">coping knowledge received high ratings, whereas community misconception correction and professional referral received more moderate ratings. This pattern suggests that individual awareness alone may not be sufficient to change the wider social environment </w:t>
      </w:r>
      <w:r>
        <w:t>or connect people to professional services.</w:t>
      </w:r>
    </w:p>
    <w:p w:rsidR="00556A1D" w:rsidRDefault="002F7688">
      <w:pPr>
        <w:jc w:val="both"/>
      </w:pPr>
      <w:r>
        <w:t>The highest means were attached to recognising psychological effects and building coping/resilience. Communication and support remained high, whereas community misconception correction and professional help-seeki</w:t>
      </w:r>
      <w:r>
        <w:t>ng were moderate. The pattern identifies the transition from personal knowledge to social-system change as a potential implementation gap.</w:t>
      </w:r>
    </w:p>
    <w:p w:rsidR="00556A1D" w:rsidRDefault="002F7688">
      <w:pPr>
        <w:pStyle w:val="Heading2"/>
        <w:rPr>
          <w:sz w:val="26"/>
        </w:rPr>
      </w:pPr>
      <w:r>
        <w:rPr>
          <w:sz w:val="26"/>
        </w:rPr>
        <w:t>4.4 Family support was associated with lower psychosocial distress</w:t>
      </w:r>
    </w:p>
    <w:p w:rsidR="00556A1D" w:rsidRDefault="002F7688">
      <w:pPr>
        <w:pStyle w:val="Caption"/>
        <w:rPr>
          <w:color w:val="auto"/>
        </w:rPr>
      </w:pPr>
      <w:r>
        <w:rPr>
          <w:color w:val="auto"/>
        </w:rPr>
        <w:t xml:space="preserve">Table 4. Regular family financial support and </w:t>
      </w:r>
      <w:r>
        <w:rPr>
          <w:color w:val="auto"/>
        </w:rPr>
        <w:t>psychosocial distress</w:t>
      </w:r>
    </w:p>
    <w:tbl>
      <w:tblPr>
        <w:tblStyle w:val="LightShading-Accent1"/>
        <w:tblW w:w="0" w:type="auto"/>
        <w:jc w:val="center"/>
        <w:tblLook w:val="04A0" w:firstRow="1" w:lastRow="0" w:firstColumn="1" w:lastColumn="0" w:noHBand="0" w:noVBand="1"/>
      </w:tblPr>
      <w:tblGrid>
        <w:gridCol w:w="1692"/>
        <w:gridCol w:w="1064"/>
        <w:gridCol w:w="1736"/>
        <w:gridCol w:w="1020"/>
        <w:gridCol w:w="1378"/>
        <w:gridCol w:w="1740"/>
        <w:gridCol w:w="1680"/>
      </w:tblGrid>
      <w:tr w:rsidR="00556A1D" w:rsidTr="00556A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2" w:type="dxa"/>
            <w:vAlign w:val="center"/>
          </w:tcPr>
          <w:p w:rsidR="00556A1D" w:rsidRDefault="002F7688">
            <w:pPr>
              <w:rPr>
                <w:color w:val="0F243E" w:themeColor="text2" w:themeShade="80"/>
                <w:sz w:val="20"/>
                <w:szCs w:val="20"/>
              </w:rPr>
            </w:pPr>
            <w:r>
              <w:rPr>
                <w:color w:val="0F243E" w:themeColor="text2" w:themeShade="80"/>
                <w:sz w:val="20"/>
                <w:szCs w:val="20"/>
              </w:rPr>
              <w:t>Regular family financial support</w:t>
            </w:r>
          </w:p>
        </w:tc>
        <w:tc>
          <w:tcPr>
            <w:tcW w:w="1064"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Lower distress n (%)</w:t>
            </w:r>
          </w:p>
        </w:tc>
        <w:tc>
          <w:tcPr>
            <w:tcW w:w="1736"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Higher distress n (%)</w:t>
            </w:r>
          </w:p>
        </w:tc>
        <w:tc>
          <w:tcPr>
            <w:tcW w:w="1020"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Total</w:t>
            </w:r>
          </w:p>
        </w:tc>
        <w:tc>
          <w:tcPr>
            <w:tcW w:w="1378"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Chi-square</w:t>
            </w:r>
          </w:p>
        </w:tc>
        <w:tc>
          <w:tcPr>
            <w:tcW w:w="1740"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p-value</w:t>
            </w:r>
          </w:p>
        </w:tc>
        <w:tc>
          <w:tcPr>
            <w:tcW w:w="1680"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sz w:val="20"/>
                <w:szCs w:val="20"/>
              </w:rPr>
            </w:pPr>
            <w:r>
              <w:rPr>
                <w:color w:val="0F243E" w:themeColor="text2" w:themeShade="80"/>
                <w:sz w:val="20"/>
                <w:szCs w:val="20"/>
              </w:rPr>
              <w:t>Cramer V</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692" w:type="dxa"/>
            <w:vAlign w:val="center"/>
          </w:tcPr>
          <w:p w:rsidR="00556A1D" w:rsidRDefault="002F7688">
            <w:pPr>
              <w:jc w:val="center"/>
              <w:rPr>
                <w:color w:val="000000" w:themeColor="text1"/>
              </w:rPr>
            </w:pPr>
            <w:r>
              <w:rPr>
                <w:color w:val="000000" w:themeColor="text1"/>
              </w:rPr>
              <w:t>No</w:t>
            </w:r>
          </w:p>
        </w:tc>
        <w:tc>
          <w:tcPr>
            <w:tcW w:w="1064"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32 (38.6)</w:t>
            </w:r>
          </w:p>
        </w:tc>
        <w:tc>
          <w:tcPr>
            <w:tcW w:w="1736"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51 (61.4)</w:t>
            </w:r>
          </w:p>
        </w:tc>
        <w:tc>
          <w:tcPr>
            <w:tcW w:w="102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83</w:t>
            </w:r>
          </w:p>
        </w:tc>
        <w:tc>
          <w:tcPr>
            <w:tcW w:w="137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5.876</w:t>
            </w:r>
          </w:p>
        </w:tc>
        <w:tc>
          <w:tcPr>
            <w:tcW w:w="174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0.015</w:t>
            </w:r>
          </w:p>
        </w:tc>
        <w:tc>
          <w:tcPr>
            <w:tcW w:w="168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0.242</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1692" w:type="dxa"/>
            <w:vAlign w:val="center"/>
          </w:tcPr>
          <w:p w:rsidR="00556A1D" w:rsidRDefault="002F7688">
            <w:pPr>
              <w:jc w:val="center"/>
              <w:rPr>
                <w:color w:val="000000" w:themeColor="text1"/>
              </w:rPr>
            </w:pPr>
            <w:r>
              <w:rPr>
                <w:color w:val="000000" w:themeColor="text1"/>
              </w:rPr>
              <w:t>Yes</w:t>
            </w:r>
          </w:p>
        </w:tc>
        <w:tc>
          <w:tcPr>
            <w:tcW w:w="1064"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12 (70.6)</w:t>
            </w:r>
          </w:p>
        </w:tc>
        <w:tc>
          <w:tcPr>
            <w:tcW w:w="1736"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5 (29.4)</w:t>
            </w:r>
          </w:p>
        </w:tc>
        <w:tc>
          <w:tcPr>
            <w:tcW w:w="102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17</w:t>
            </w:r>
          </w:p>
        </w:tc>
        <w:tc>
          <w:tcPr>
            <w:tcW w:w="1378"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tcW w:w="174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tcW w:w="1680"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r>
    </w:tbl>
    <w:p w:rsidR="00556A1D" w:rsidRDefault="00556A1D"/>
    <w:p w:rsidR="00556A1D" w:rsidRDefault="002F7688">
      <w:pPr>
        <w:jc w:val="both"/>
      </w:pPr>
      <w:r>
        <w:t xml:space="preserve">Participants with regular family financial </w:t>
      </w:r>
      <w:r>
        <w:t>support were more often in the lower-distress group. The association was statistically significant, with a small-to-moderate effect size. This finding supports the view that family support can be both material and psychosocial, but it does not imply that a</w:t>
      </w:r>
      <w:r>
        <w:t>ll family involvement is protective or that support caused lower distress.</w:t>
      </w:r>
    </w:p>
    <w:p w:rsidR="00556A1D" w:rsidRDefault="002F7688">
      <w:pPr>
        <w:jc w:val="both"/>
      </w:pPr>
      <w:r>
        <w:t>Higher distress was substantially more common among participants without regular family financial support. The result supports assessment of practical family resources while also re</w:t>
      </w:r>
      <w:r>
        <w:t>inforcing the need to distinguish supportive involvement from intrusive or blaming involvement.</w:t>
      </w:r>
    </w:p>
    <w:p w:rsidR="00556A1D" w:rsidRDefault="002F7688">
      <w:pPr>
        <w:pStyle w:val="Heading2"/>
        <w:rPr>
          <w:sz w:val="26"/>
        </w:rPr>
      </w:pPr>
      <w:r>
        <w:rPr>
          <w:sz w:val="26"/>
        </w:rPr>
        <w:t>4.5 Qualitative evidence located psychoeducation in families, communities and faith networks</w:t>
      </w:r>
    </w:p>
    <w:p w:rsidR="00556A1D" w:rsidRDefault="002F7688">
      <w:pPr>
        <w:pStyle w:val="Caption"/>
        <w:rPr>
          <w:color w:val="0D0D0D" w:themeColor="text1" w:themeTint="F2"/>
        </w:rPr>
      </w:pPr>
      <w:r>
        <w:rPr>
          <w:color w:val="0D0D0D" w:themeColor="text1" w:themeTint="F2"/>
        </w:rPr>
        <w:t xml:space="preserve">Table 5. Mixed-methods themes relevant to psychoeducation beyond </w:t>
      </w:r>
      <w:r>
        <w:rPr>
          <w:color w:val="0D0D0D" w:themeColor="text1" w:themeTint="F2"/>
        </w:rPr>
        <w:t>the clinic</w:t>
      </w:r>
    </w:p>
    <w:tbl>
      <w:tblPr>
        <w:tblStyle w:val="LightShading-Accent1"/>
        <w:tblW w:w="0" w:type="auto"/>
        <w:jc w:val="center"/>
        <w:tblLook w:val="04A0" w:firstRow="1" w:lastRow="0" w:firstColumn="1" w:lastColumn="0" w:noHBand="0" w:noVBand="1"/>
      </w:tblPr>
      <w:tblGrid>
        <w:gridCol w:w="2762"/>
        <w:gridCol w:w="3112"/>
        <w:gridCol w:w="2176"/>
        <w:gridCol w:w="2649"/>
      </w:tblGrid>
      <w:tr w:rsidR="00556A1D" w:rsidTr="00556A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62" w:type="dxa"/>
            <w:vAlign w:val="center"/>
          </w:tcPr>
          <w:p w:rsidR="00556A1D" w:rsidRDefault="002F7688">
            <w:pPr>
              <w:rPr>
                <w:color w:val="0F243E" w:themeColor="text2" w:themeShade="80"/>
              </w:rPr>
            </w:pPr>
            <w:r>
              <w:rPr>
                <w:color w:val="0F243E" w:themeColor="text2" w:themeShade="80"/>
              </w:rPr>
              <w:t>Theme</w:t>
            </w:r>
          </w:p>
        </w:tc>
        <w:tc>
          <w:tcPr>
            <w:tcW w:w="3112"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rPr>
            </w:pPr>
            <w:r>
              <w:rPr>
                <w:color w:val="0F243E" w:themeColor="text2" w:themeShade="80"/>
              </w:rPr>
              <w:t>Illustrative content</w:t>
            </w:r>
          </w:p>
        </w:tc>
        <w:tc>
          <w:tcPr>
            <w:tcW w:w="2176"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rPr>
            </w:pPr>
            <w:r>
              <w:rPr>
                <w:color w:val="0F243E" w:themeColor="text2" w:themeShade="80"/>
              </w:rPr>
              <w:t>Responses coded, n</w:t>
            </w:r>
          </w:p>
        </w:tc>
        <w:tc>
          <w:tcPr>
            <w:tcW w:w="2649" w:type="dxa"/>
            <w:vAlign w:val="center"/>
          </w:tcPr>
          <w:p w:rsidR="00556A1D" w:rsidRDefault="002F7688">
            <w:pPr>
              <w:cnfStyle w:val="100000000000" w:firstRow="1" w:lastRow="0" w:firstColumn="0" w:lastColumn="0" w:oddVBand="0" w:evenVBand="0" w:oddHBand="0" w:evenHBand="0" w:firstRowFirstColumn="0" w:firstRowLastColumn="0" w:lastRowFirstColumn="0" w:lastRowLastColumn="0"/>
              <w:rPr>
                <w:color w:val="0F243E" w:themeColor="text2" w:themeShade="80"/>
              </w:rPr>
            </w:pPr>
            <w:r>
              <w:rPr>
                <w:color w:val="0F243E" w:themeColor="text2" w:themeShade="80"/>
              </w:rPr>
              <w:t>Implication</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762" w:type="dxa"/>
            <w:vAlign w:val="center"/>
          </w:tcPr>
          <w:p w:rsidR="00556A1D" w:rsidRDefault="002F7688">
            <w:pPr>
              <w:rPr>
                <w:color w:val="auto"/>
              </w:rPr>
            </w:pPr>
            <w:r>
              <w:rPr>
                <w:color w:val="auto"/>
              </w:rPr>
              <w:t>Family/community stigma</w:t>
            </w:r>
          </w:p>
        </w:tc>
        <w:tc>
          <w:tcPr>
            <w:tcW w:w="31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Blame, curses, rejection, gossip and gendered attribution</w:t>
            </w:r>
          </w:p>
        </w:tc>
        <w:tc>
          <w:tcPr>
            <w:tcW w:w="2176"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81</w:t>
            </w:r>
          </w:p>
        </w:tc>
        <w:tc>
          <w:tcPr>
            <w:tcW w:w="2649"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Anti-stigma education is a social priority</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762" w:type="dxa"/>
            <w:vAlign w:val="center"/>
          </w:tcPr>
          <w:p w:rsidR="00556A1D" w:rsidRDefault="002F7688">
            <w:pPr>
              <w:rPr>
                <w:color w:val="auto"/>
              </w:rPr>
            </w:pPr>
            <w:r>
              <w:rPr>
                <w:color w:val="auto"/>
              </w:rPr>
              <w:t>Communication and support</w:t>
            </w:r>
          </w:p>
        </w:tc>
        <w:tc>
          <w:tcPr>
            <w:tcW w:w="31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Spousal, family and </w:t>
            </w:r>
            <w:r>
              <w:rPr>
                <w:color w:val="auto"/>
              </w:rPr>
              <w:t>trusted-friend communication</w:t>
            </w:r>
          </w:p>
        </w:tc>
        <w:tc>
          <w:tcPr>
            <w:tcW w:w="2176"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72</w:t>
            </w:r>
          </w:p>
        </w:tc>
        <w:tc>
          <w:tcPr>
            <w:tcW w:w="2649"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Build on existing trusted relationships</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762" w:type="dxa"/>
            <w:vAlign w:val="center"/>
          </w:tcPr>
          <w:p w:rsidR="00556A1D" w:rsidRDefault="002F7688">
            <w:pPr>
              <w:rPr>
                <w:color w:val="auto"/>
              </w:rPr>
            </w:pPr>
            <w:r>
              <w:rPr>
                <w:color w:val="auto"/>
              </w:rPr>
              <w:t>Community awareness</w:t>
            </w:r>
          </w:p>
        </w:tc>
        <w:tc>
          <w:tcPr>
            <w:tcW w:w="31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Correcting curses, blame and gendered misconceptions</w:t>
            </w:r>
          </w:p>
        </w:tc>
        <w:tc>
          <w:tcPr>
            <w:tcW w:w="2176"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43</w:t>
            </w:r>
          </w:p>
        </w:tc>
        <w:tc>
          <w:tcPr>
            <w:tcW w:w="2649"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Public education remains underdeveloped</w:t>
            </w:r>
          </w:p>
        </w:tc>
      </w:tr>
      <w:tr w:rsidR="00556A1D" w:rsidTr="00556A1D">
        <w:trPr>
          <w:jc w:val="center"/>
        </w:trPr>
        <w:tc>
          <w:tcPr>
            <w:cnfStyle w:val="001000000000" w:firstRow="0" w:lastRow="0" w:firstColumn="1" w:lastColumn="0" w:oddVBand="0" w:evenVBand="0" w:oddHBand="0" w:evenHBand="0" w:firstRowFirstColumn="0" w:firstRowLastColumn="0" w:lastRowFirstColumn="0" w:lastRowLastColumn="0"/>
            <w:tcW w:w="2762" w:type="dxa"/>
            <w:vAlign w:val="center"/>
          </w:tcPr>
          <w:p w:rsidR="00556A1D" w:rsidRDefault="002F7688">
            <w:pPr>
              <w:rPr>
                <w:color w:val="auto"/>
              </w:rPr>
            </w:pPr>
            <w:r>
              <w:rPr>
                <w:color w:val="auto"/>
              </w:rPr>
              <w:t>Professional help-seeking</w:t>
            </w:r>
          </w:p>
        </w:tc>
        <w:tc>
          <w:tcPr>
            <w:tcW w:w="3112"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Counselling, clinic attendance and menta</w:t>
            </w:r>
            <w:r>
              <w:rPr>
                <w:color w:val="auto"/>
              </w:rPr>
              <w:t>l-health referral</w:t>
            </w:r>
          </w:p>
        </w:tc>
        <w:tc>
          <w:tcPr>
            <w:tcW w:w="2176" w:type="dxa"/>
            <w:vAlign w:val="center"/>
          </w:tcPr>
          <w:p w:rsidR="00556A1D" w:rsidRDefault="002F7688">
            <w:pPr>
              <w:jc w:val="center"/>
              <w:cnfStyle w:val="000000000000" w:firstRow="0" w:lastRow="0" w:firstColumn="0" w:lastColumn="0" w:oddVBand="0" w:evenVBand="0" w:oddHBand="0" w:evenHBand="0" w:firstRowFirstColumn="0" w:firstRowLastColumn="0" w:lastRowFirstColumn="0" w:lastRowLastColumn="0"/>
              <w:rPr>
                <w:color w:val="auto"/>
              </w:rPr>
            </w:pPr>
            <w:r>
              <w:rPr>
                <w:color w:val="auto"/>
              </w:rPr>
              <w:t>37</w:t>
            </w:r>
          </w:p>
        </w:tc>
        <w:tc>
          <w:tcPr>
            <w:tcW w:w="2649" w:type="dxa"/>
            <w:vAlign w:val="center"/>
          </w:tcPr>
          <w:p w:rsidR="00556A1D" w:rsidRDefault="002F7688">
            <w:pPr>
              <w:cnfStyle w:val="000000000000" w:firstRow="0" w:lastRow="0" w:firstColumn="0" w:lastColumn="0" w:oddVBand="0" w:evenVBand="0" w:oddHBand="0" w:evenHBand="0" w:firstRowFirstColumn="0" w:firstRowLastColumn="0" w:lastRowFirstColumn="0" w:lastRowLastColumn="0"/>
              <w:rPr>
                <w:color w:val="auto"/>
              </w:rPr>
            </w:pPr>
            <w:r>
              <w:rPr>
                <w:color w:val="auto"/>
              </w:rPr>
              <w:t>Referral pathways need normalisation</w:t>
            </w:r>
          </w:p>
        </w:tc>
      </w:tr>
    </w:tbl>
    <w:p w:rsidR="00556A1D" w:rsidRDefault="00556A1D"/>
    <w:p w:rsidR="00556A1D" w:rsidRDefault="002F7688">
      <w:pPr>
        <w:jc w:val="both"/>
      </w:pPr>
      <w:r>
        <w:t xml:space="preserve">The qualitative findings reveal a tension: Family and community processes were major sources of stigma, yet communication and social support were also common coping resources. Psychoeducation </w:t>
      </w:r>
      <w:r>
        <w:t>therefore needs to reshape social interaction rather than merely increase contact with relatives or community representatives.</w:t>
      </w:r>
    </w:p>
    <w:p w:rsidR="00556A1D" w:rsidRDefault="002F7688">
      <w:pPr>
        <w:jc w:val="both"/>
      </w:pPr>
      <w:r>
        <w:lastRenderedPageBreak/>
        <w:t>Family/community stigma had the largest coded frequency among these themes. Communication/support was also prominent, whereas com</w:t>
      </w:r>
      <w:r>
        <w:t>munity awareness and professional help-seeking were less frequent. Theme counts indicate coding frequency, not population prevalence.</w:t>
      </w:r>
    </w:p>
    <w:p w:rsidR="00556A1D" w:rsidRDefault="002F7688">
      <w:pPr>
        <w:ind w:left="432"/>
      </w:pPr>
      <w:r>
        <w:rPr>
          <w:i/>
        </w:rPr>
        <w:t>“Create awareness and psychoeducation in the family, church and community.” (Participant BENA-15)</w:t>
      </w:r>
    </w:p>
    <w:p w:rsidR="00556A1D" w:rsidRDefault="002F7688">
      <w:pPr>
        <w:ind w:left="432"/>
      </w:pPr>
      <w:r>
        <w:rPr>
          <w:i/>
        </w:rPr>
        <w:t xml:space="preserve">“Increase awareness and </w:t>
      </w:r>
      <w:r>
        <w:rPr>
          <w:i/>
        </w:rPr>
        <w:t>educate people about the causes and mental-health effects.” (Participant BENA-16)</w:t>
      </w:r>
    </w:p>
    <w:p w:rsidR="00556A1D" w:rsidRDefault="002F7688">
      <w:pPr>
        <w:ind w:left="432"/>
      </w:pPr>
      <w:r>
        <w:rPr>
          <w:i/>
        </w:rPr>
        <w:t>“Use social support networks and seek counselling or church activities.” (Participant BENA-22)</w:t>
      </w:r>
    </w:p>
    <w:p w:rsidR="00556A1D" w:rsidRDefault="002F7688">
      <w:pPr>
        <w:ind w:left="432"/>
      </w:pPr>
      <w:r>
        <w:rPr>
          <w:i/>
        </w:rPr>
        <w:t xml:space="preserve">“Community sees reproductive problems as women’s issues; men are not blamed.” </w:t>
      </w:r>
      <w:r>
        <w:rPr>
          <w:i/>
        </w:rPr>
        <w:t>(Participant BENA-16)</w:t>
      </w:r>
    </w:p>
    <w:p w:rsidR="00556A1D" w:rsidRDefault="002F7688">
      <w:pPr>
        <w:ind w:left="432"/>
      </w:pPr>
      <w:r>
        <w:rPr>
          <w:i/>
        </w:rPr>
        <w:t>“In-laws may label me a witch; some believe infertility is a curse or sickness.” (Participant BENA-18)</w:t>
      </w:r>
    </w:p>
    <w:p w:rsidR="00556A1D" w:rsidRDefault="002F7688">
      <w:pPr>
        <w:jc w:val="both"/>
      </w:pPr>
      <w:r>
        <w:t>These quotations illustrate why the social environment is more than a background factor. Participants located both harm and potenti</w:t>
      </w:r>
      <w:r>
        <w:t>al solutions in families, churches, communities and health services. Calls for community education coexisted with reports of gendered blame and supernatural labelling. Psychoeducation beyond the clinic must therefore be designed as a corrective and support</w:t>
      </w:r>
      <w:r>
        <w:t>ive process, not as indiscriminate social exposure.</w:t>
      </w:r>
    </w:p>
    <w:p w:rsidR="00556A1D" w:rsidRDefault="002F7688">
      <w:pPr>
        <w:pStyle w:val="Heading1"/>
        <w:spacing w:line="360" w:lineRule="auto"/>
        <w:rPr>
          <w:color w:val="0F243E" w:themeColor="text2" w:themeShade="80"/>
          <w:szCs w:val="26"/>
        </w:rPr>
      </w:pPr>
      <w:r>
        <w:rPr>
          <w:color w:val="0F243E" w:themeColor="text2" w:themeShade="80"/>
          <w:szCs w:val="26"/>
        </w:rPr>
        <w:t>5. Discussion</w:t>
      </w:r>
    </w:p>
    <w:p w:rsidR="00556A1D" w:rsidRDefault="002F7688">
      <w:pPr>
        <w:pStyle w:val="Heading2"/>
        <w:spacing w:line="360" w:lineRule="auto"/>
        <w:rPr>
          <w:color w:val="0D0D0D" w:themeColor="text1" w:themeTint="F2"/>
          <w:sz w:val="26"/>
        </w:rPr>
      </w:pPr>
      <w:r>
        <w:rPr>
          <w:color w:val="0F243E" w:themeColor="text2" w:themeShade="80"/>
          <w:sz w:val="26"/>
        </w:rPr>
        <w:t>5.1 Why clinic-only psychoeducation is insufficien</w:t>
      </w:r>
      <w:r>
        <w:rPr>
          <w:color w:val="0D0D0D" w:themeColor="text1" w:themeTint="F2"/>
          <w:sz w:val="26"/>
        </w:rPr>
        <w:t>t</w:t>
      </w:r>
    </w:p>
    <w:p w:rsidR="00556A1D" w:rsidRDefault="002F7688">
      <w:pPr>
        <w:jc w:val="both"/>
      </w:pPr>
      <w:r>
        <w:t>The strongest finding supporting an approach extending beyond the clinic is the prominence of family/community stigma. With a mean of 3.95</w:t>
      </w:r>
      <w:r>
        <w:t xml:space="preserve"> and 81% coded at high or very-high intensity, stigma was not a peripheral concern. It was more prominent than several individual and relational domains. This suggests that couples may leave a consultation with improved knowledge but remain embedded in set</w:t>
      </w:r>
      <w:r>
        <w:t>tings where the problem is interpreted through blame, family status, gender expectations and gossip. A clinic can educate the couple; it cannot by itself control what in-laws, neighbours or faith communities say.</w:t>
      </w:r>
    </w:p>
    <w:p w:rsidR="00556A1D" w:rsidRDefault="002F7688">
      <w:pPr>
        <w:jc w:val="both"/>
      </w:pPr>
      <w:r>
        <w:t>This does not make clinical psychoeducation</w:t>
      </w:r>
      <w:r>
        <w:t xml:space="preserve"> less important. On the contrary, the clinic remains the safest technical anchor because health workers can explain diagnosis, treatment limitations, emotional reactions and referral options. The implication is that clinic education should be designed for </w:t>
      </w:r>
      <w:r>
        <w:t>social transfer. Couples can be given language for explaining infertility to selected relatives, short myth-correction messages and strategies for responding to intrusive questions. Where consent is given, services can offer family sessions or community-fa</w:t>
      </w:r>
      <w:r>
        <w:t>cing material that communicates accurate general information without disclosing personal clinical details.</w:t>
      </w:r>
    </w:p>
    <w:p w:rsidR="00556A1D" w:rsidRDefault="002F7688">
      <w:pPr>
        <w:jc w:val="both"/>
      </w:pPr>
      <w:r>
        <w:t>The contrast between high ratings for individual-level psychoeducation and moderate ratings for community awareness is particularly informative. Part</w:t>
      </w:r>
      <w:r>
        <w:t>icipants strongly valued recognising psychological consequences and coping, but correction of community misconceptions was less strongly represented. This pattern suggests that awareness may remain concentrated among affected individuals rather than reachi</w:t>
      </w:r>
      <w:r>
        <w:t>ng the people who generate social pressure. Programme design should therefore include an explicit diffusion strategy rather than assuming that informed couples will necessarily educate their communities.</w:t>
      </w:r>
    </w:p>
    <w:p w:rsidR="00556A1D" w:rsidRDefault="002F7688">
      <w:pPr>
        <w:pStyle w:val="Heading2"/>
        <w:spacing w:line="360" w:lineRule="auto"/>
        <w:rPr>
          <w:color w:val="0F243E" w:themeColor="text2" w:themeShade="80"/>
          <w:sz w:val="26"/>
        </w:rPr>
      </w:pPr>
      <w:r>
        <w:rPr>
          <w:color w:val="0F243E" w:themeColor="text2" w:themeShade="80"/>
          <w:sz w:val="26"/>
        </w:rPr>
        <w:t>5.2 Family psychoeducation: from reproductive pressu</w:t>
      </w:r>
      <w:r>
        <w:rPr>
          <w:color w:val="0F243E" w:themeColor="text2" w:themeShade="80"/>
          <w:sz w:val="26"/>
        </w:rPr>
        <w:t>re to supportive partnership</w:t>
      </w:r>
    </w:p>
    <w:p w:rsidR="00556A1D" w:rsidRDefault="002F7688">
      <w:pPr>
        <w:jc w:val="both"/>
      </w:pPr>
      <w:r>
        <w:t>Family is an obvious psychoeducation target because it can influence treatment decisions, disclosure, finances and relationship stability. The significant association between regular family financial support and distress sugges</w:t>
      </w:r>
      <w:r>
        <w:t>ts that family resources may have psychosocial importance. Participants with support were more often in the lower-distress group. Financial assistance may alleviate transport costs and difficulties accessing treatment, but its meaning may be equally import</w:t>
      </w:r>
      <w:r>
        <w:t>ant: it communicates that the couple is not abandoned and that infertility is recognised as a legitimate health challenge.</w:t>
      </w:r>
    </w:p>
    <w:p w:rsidR="00556A1D" w:rsidRDefault="002F7688">
      <w:pPr>
        <w:jc w:val="both"/>
      </w:pPr>
      <w:r>
        <w:lastRenderedPageBreak/>
        <w:t>The same social proximity that makes family support powerful also makes family pressure potentially harmful. Expectations for grandch</w:t>
      </w:r>
      <w:r>
        <w:t>ildren can turn medical uncertainty into a collective family crisis. Repeated questioning can transform ordinary gatherings into sites of surveillance. Attribution of infertility to a wife can intensify gendered blame even when no diagnosis has been establ</w:t>
      </w:r>
      <w:r>
        <w:t>ished. Suggestions of separation or another marriage can destabilise the couple before treatment options are fully understood. Dyer et al. (2002) and Tabong and Adongo (2013) document similar tensions in other African settings, reinforcing the relevance of</w:t>
      </w:r>
      <w:r>
        <w:t xml:space="preserve"> these Juba findings without implying uniformity across countries.</w:t>
      </w:r>
    </w:p>
    <w:p w:rsidR="00556A1D" w:rsidRDefault="002F7688">
      <w:pPr>
        <w:jc w:val="both"/>
      </w:pPr>
      <w:r>
        <w:t>A family psychoeducation model should therefore begin with the couple's permission. The couple should determine who is invited, what is discussed and what remains private. Content can focus</w:t>
      </w:r>
      <w:r>
        <w:t xml:space="preserve"> on general principles: infertility may arise from female, male, combined or unexplained factors; blame is not medically justified; treatment outcomes are uncertain; emotional distress is common; and pressure can worsen suffering without improving fertilit</w:t>
      </w:r>
      <w:r>
        <w:t>y. Family members can be encouraged to offer practical assistance, respectful listening and protection from gossip while avoiding coercive involvement in reproductive decisions.</w:t>
      </w:r>
    </w:p>
    <w:p w:rsidR="00556A1D" w:rsidRDefault="002F7688">
      <w:pPr>
        <w:jc w:val="both"/>
      </w:pPr>
      <w:r>
        <w:t>Financial support also requires boundaries. Assistance should not purchase aut</w:t>
      </w:r>
      <w:r>
        <w:t xml:space="preserve">hority over treatment. A relative who contributes money should not automatically determine which clinic is used, whether treatment continues or whether private results are disclosed. Psychoeducation can make this boundary explicit and reduce the risk that </w:t>
      </w:r>
      <w:r>
        <w:t>economic dependence becomes reproductive control.</w:t>
      </w:r>
    </w:p>
    <w:p w:rsidR="00556A1D" w:rsidRDefault="002F7688">
      <w:pPr>
        <w:pStyle w:val="Heading2"/>
        <w:spacing w:line="360" w:lineRule="auto"/>
        <w:rPr>
          <w:sz w:val="26"/>
        </w:rPr>
      </w:pPr>
      <w:r>
        <w:rPr>
          <w:sz w:val="26"/>
        </w:rPr>
        <w:t>5.3 Community psychoeducation as anti-stigma public health</w:t>
      </w:r>
    </w:p>
    <w:p w:rsidR="00556A1D" w:rsidRDefault="002F7688">
      <w:pPr>
        <w:jc w:val="both"/>
      </w:pPr>
      <w:r>
        <w:t>The combination of high stigma, cultural pressure and social withdrawal provides a rationale for community education. When infertility is interpret</w:t>
      </w:r>
      <w:r>
        <w:t>ed publicly as incomplete womanhood, failed masculinity, family shame or supernatural punishment, the couple carries a social identity burden in addition to the clinical problem. Xie et al. (2023) and Ekpor et al. (2025) show that infertility stigma is ass</w:t>
      </w:r>
      <w:r>
        <w:t>ociated with poor psychological outcomes across broader evidence. The Juba findings offer locally grounded evidence of high stigma intensity and participant calls for greater awareness.</w:t>
      </w:r>
    </w:p>
    <w:p w:rsidR="00556A1D" w:rsidRDefault="002F7688">
      <w:pPr>
        <w:jc w:val="both"/>
      </w:pPr>
      <w:r>
        <w:t>The aim of community psychoeducation should not be to make private fer</w:t>
      </w:r>
      <w:r>
        <w:t xml:space="preserve">tility histories public. Its purpose is to change general norms. Messages can state that infertility is a health condition affecting women and men; that no individual should be blamed without evidence; that treatment may take time or may not succeed; that </w:t>
      </w:r>
      <w:r>
        <w:t>people experiencing infertility deserve privacy and respect; and that counselling is a legitimate component of reproductive healthcare. These messages can reduce the social cost of disclosure without requiring disclosure.</w:t>
      </w:r>
    </w:p>
    <w:p w:rsidR="00556A1D" w:rsidRDefault="002F7688">
      <w:pPr>
        <w:jc w:val="both"/>
      </w:pPr>
      <w:r>
        <w:t>Community education must also be c</w:t>
      </w:r>
      <w:r>
        <w:t>areful with language. Technical reproductive terms may be inaccessible, while simplified messages can become misleading. Translation should preserve distinctions between infertility, childlessness and delayed conception. It should avoid implying that every</w:t>
      </w:r>
      <w:r>
        <w:t xml:space="preserve"> couple needs assisted reproductive technology or that infertility is always curable. It should also avoid language that defines people primarily by their reproductive status. A person-centred message focuses on dignity and support rather than labelling pe</w:t>
      </w:r>
      <w:r>
        <w:t>ople as failed parents.</w:t>
      </w:r>
    </w:p>
    <w:p w:rsidR="00556A1D" w:rsidRDefault="002F7688">
      <w:pPr>
        <w:jc w:val="both"/>
      </w:pPr>
      <w:r>
        <w:t>Delivery may include radio, community health outreach, small dialogues, printed material and support groups. In a resource-constrained setting, radio and community networks offer scale, but they require scripts developed with clinic</w:t>
      </w:r>
      <w:r>
        <w:t>ians and community representatives. Support groups offer depth but need safeguards against involuntary disclosure. Community health workers can bridge clinic and community but need training to recognise when a couple requires referral rather than education</w:t>
      </w:r>
      <w:r>
        <w:t xml:space="preserve"> alone.</w:t>
      </w:r>
    </w:p>
    <w:p w:rsidR="00556A1D" w:rsidRDefault="002F7688">
      <w:pPr>
        <w:pStyle w:val="Heading2"/>
        <w:spacing w:line="360" w:lineRule="auto"/>
        <w:rPr>
          <w:sz w:val="26"/>
        </w:rPr>
      </w:pPr>
      <w:r>
        <w:rPr>
          <w:sz w:val="26"/>
        </w:rPr>
        <w:t>5.4 Faith-based psychoeducation: drawing on trust while maintaining clinical boundaries</w:t>
      </w:r>
    </w:p>
    <w:p w:rsidR="00556A1D" w:rsidRDefault="002F7688">
      <w:pPr>
        <w:jc w:val="both"/>
      </w:pPr>
      <w:r>
        <w:t>Faith-based settings merit attention because participants identified religion as a coping resource and explicitly mentioned church activities. The sample includ</w:t>
      </w:r>
      <w:r>
        <w:t xml:space="preserve">ed a large Christian majority and a meaningful Muslim minority, indicating that any </w:t>
      </w:r>
      <w:r>
        <w:lastRenderedPageBreak/>
        <w:t>programme should be plural rather than designed around one denomination or tradition. The study did not test outcome differences by religion, so the appropriate implication</w:t>
      </w:r>
      <w:r>
        <w:t xml:space="preserve"> is sensitivity, not comparison.</w:t>
      </w:r>
    </w:p>
    <w:p w:rsidR="00556A1D" w:rsidRDefault="002F7688">
      <w:pPr>
        <w:jc w:val="both"/>
      </w:pPr>
      <w:r>
        <w:t xml:space="preserve">Religious leaders can potentially reduce stigma by affirming that infertility does not diminish human worth, discouraging ridicule and gendered blame, and encouraging couples to seek appropriate medical care. They may also </w:t>
      </w:r>
      <w:r>
        <w:t xml:space="preserve">identify severe distress and facilitate referral where psychological services are unfamiliar. In communities where faith leaders are trusted, a brief referral message from a pastor, priest or imam may reduce fears that counselling conflicts with religious </w:t>
      </w:r>
      <w:r>
        <w:t>commitment.</w:t>
      </w:r>
    </w:p>
    <w:p w:rsidR="00556A1D" w:rsidRDefault="002F7688">
      <w:pPr>
        <w:jc w:val="both"/>
      </w:pPr>
      <w:r>
        <w:t xml:space="preserve">However, faith engagement has clear limits. Religious actors should not diagnose infertility, interpret laboratory findings or pressure couples toward or away from specific treatments. Psychoeducation should challenge explanations that present </w:t>
      </w:r>
      <w:r>
        <w:t xml:space="preserve">infertility as proof of sin, witchcraft or insufficient faith especially when such claims increase blame. It should also avoid using religious hope as a promise of conception. Hope can be supported without guaranteeing an outcome. The distinction protects </w:t>
      </w:r>
      <w:r>
        <w:t>both spiritual integrity and clinical accuracy.</w:t>
      </w:r>
    </w:p>
    <w:p w:rsidR="00556A1D" w:rsidRDefault="002F7688">
      <w:pPr>
        <w:jc w:val="both"/>
      </w:pPr>
      <w:r>
        <w:t>Confidentiality is particularly important in close religious communities. Couples may fear that disclosure to a leader will become known to congregants. Collaboration agreements should therefore specify priva</w:t>
      </w:r>
      <w:r>
        <w:t>cy expectations and referral boundaries. Faith-based group education should use general scenarios rather than identifiable patient stories. Individual pastoral support should remain voluntary, and couples should retain the right to decline religious involv</w:t>
      </w:r>
      <w:r>
        <w:t>ement altogether.</w:t>
      </w:r>
    </w:p>
    <w:p w:rsidR="00556A1D" w:rsidRDefault="002F7688">
      <w:pPr>
        <w:pStyle w:val="Heading2"/>
        <w:spacing w:line="360" w:lineRule="auto"/>
        <w:rPr>
          <w:sz w:val="26"/>
        </w:rPr>
      </w:pPr>
      <w:r>
        <w:rPr>
          <w:sz w:val="26"/>
        </w:rPr>
        <w:t>5.5 Integrating family, community and faith channels with clinical care</w:t>
      </w:r>
    </w:p>
    <w:p w:rsidR="00556A1D" w:rsidRDefault="002F7688">
      <w:pPr>
        <w:jc w:val="both"/>
      </w:pPr>
      <w:r>
        <w:t>A multi-channel programme needs coordination. If clinics, families and faith leaders communicate contradictory messages, psychoeducation can create confusion rather t</w:t>
      </w:r>
      <w:r>
        <w:t>han support. Clinical services should therefore develop a concise set of core messages that are medically accurate and adaptable across settings. These can cover causes, shared responsibility, emotional effects, respectful communication, treatment uncertai</w:t>
      </w:r>
      <w:r>
        <w:t>nty, warning signs for serious distress and referral options.</w:t>
      </w:r>
    </w:p>
    <w:p w:rsidR="00556A1D" w:rsidRDefault="002F7688">
      <w:pPr>
        <w:jc w:val="both"/>
      </w:pPr>
      <w:r>
        <w:t xml:space="preserve">Family sessions can be offered selectively after consent. Community material can be general and non-identifying. Faith leaders can receive basic orientation on stigma reduction, supportive </w:t>
      </w:r>
      <w:r>
        <w:t xml:space="preserve">language and referral. Each channel can perform a different function while using the same core facts. This model does not require non-clinical participants to function as counsellors while recognising that they influence whether couples experience support </w:t>
      </w:r>
      <w:r>
        <w:t>or pressure.</w:t>
      </w:r>
    </w:p>
    <w:p w:rsidR="00556A1D" w:rsidRDefault="002F7688">
      <w:pPr>
        <w:jc w:val="both"/>
      </w:pPr>
      <w:r>
        <w:t>The model should also incorporate feedback mechanisms. Health workers need to know whether community messages are understood, whether families find the material acceptable and whether faith leaders are referring appropriately. Short implementa</w:t>
      </w:r>
      <w:r>
        <w:t>tion audits can identify harmful reinterpretations early. A message intended to reduce blame could, for example, be reframed locally as an instruction to test women first. Continuous adaptation is therefore necessary.</w:t>
      </w:r>
    </w:p>
    <w:p w:rsidR="00556A1D" w:rsidRDefault="002F7688">
      <w:pPr>
        <w:jc w:val="both"/>
      </w:pPr>
      <w:r>
        <w:t>This coordinated structure positions f</w:t>
      </w:r>
      <w:r>
        <w:t>amily, community and faith channels as extensions rather than alternatives to the clinic; they are extensions of psychosocial reach. Their value lies in changing the context in which couples return home, attend worship, interact with relatives and decide w</w:t>
      </w:r>
      <w:r>
        <w:t>hether to seek further help.</w:t>
      </w:r>
    </w:p>
    <w:p w:rsidR="00556A1D" w:rsidRDefault="002F7688">
      <w:pPr>
        <w:pStyle w:val="Heading2"/>
        <w:spacing w:line="360" w:lineRule="auto"/>
        <w:rPr>
          <w:sz w:val="26"/>
        </w:rPr>
      </w:pPr>
      <w:r>
        <w:rPr>
          <w:sz w:val="26"/>
        </w:rPr>
        <w:t>5.6 Gender equity in social psychoeducation</w:t>
      </w:r>
    </w:p>
    <w:p w:rsidR="00556A1D" w:rsidRDefault="002F7688">
      <w:pPr>
        <w:jc w:val="both"/>
      </w:pPr>
      <w:r>
        <w:t>Gender equity should be explicit rather than assumed. The qualitative finding that community members may see reproductive problems as women's issues demonstrates how quickly responsib</w:t>
      </w:r>
      <w:r>
        <w:t>ility can become gendered. Although the parent analysis did not identify significantly lower overall psychosocial scores among men than among women, the forms of exposure differed. Women may face visible blame and accusations, while men may experience conc</w:t>
      </w:r>
      <w:r>
        <w:t>erns about lineage, masculinity or responsibility. Psychoeducation should therefore avoid the common pattern in which women receive most fertility education while men remain socially peripheral.</w:t>
      </w:r>
    </w:p>
    <w:p w:rsidR="00556A1D" w:rsidRDefault="002F7688">
      <w:pPr>
        <w:jc w:val="both"/>
      </w:pPr>
      <w:r>
        <w:t>Family and community messages should state that infertility c</w:t>
      </w:r>
      <w:r>
        <w:t xml:space="preserve">an involve either partner and that both partners should be assessed where clinically appropriate. Male participation should not be framed as blame transfer from women to men. The </w:t>
      </w:r>
      <w:r>
        <w:lastRenderedPageBreak/>
        <w:t>aim is shared responsibility for evaluation and support. Similarly, community</w:t>
      </w:r>
      <w:r>
        <w:t xml:space="preserve"> education should challenge the notion that womanhood is validated only through motherhood or manhood only through biological fatherhood. These are psychosocial messages with direct relevance to dignity and help-seeking.</w:t>
      </w:r>
    </w:p>
    <w:p w:rsidR="00556A1D" w:rsidRDefault="002F7688">
      <w:pPr>
        <w:jc w:val="both"/>
      </w:pPr>
      <w:r>
        <w:t>Gender-sensitive delivery also requ</w:t>
      </w:r>
      <w:r>
        <w:t>ires safe individual pathways. Joint family or faith sessions may be inappropriate where there is coercion, violence or severe relationship conflict. Providers should retain private assessment options and avoid community strategies that expose a participan</w:t>
      </w:r>
      <w:r>
        <w:t>t to retaliation. Wider psychoeducation is beneficial only if it expands support rather than reducing personal control.</w:t>
      </w:r>
    </w:p>
    <w:p w:rsidR="00556A1D" w:rsidRDefault="002F7688">
      <w:pPr>
        <w:pStyle w:val="Heading2"/>
        <w:spacing w:line="360" w:lineRule="auto"/>
        <w:rPr>
          <w:sz w:val="26"/>
        </w:rPr>
      </w:pPr>
      <w:r>
        <w:rPr>
          <w:sz w:val="26"/>
        </w:rPr>
        <w:t>5.7 Cultural adaptation without cultural stereotyping</w:t>
      </w:r>
    </w:p>
    <w:p w:rsidR="00556A1D" w:rsidRDefault="002F7688">
      <w:pPr>
        <w:jc w:val="both"/>
      </w:pPr>
      <w:r>
        <w:t>Cultural adaptation is necessary because language, family structures, religious pr</w:t>
      </w:r>
      <w:r>
        <w:t>actice and service access shape how psychoeducation is received. Naab et al. (2021) demonstrated that psychological intervention can be culturally adapted in an African infertility context. Adaptation, however, is not the same as accepting every local expl</w:t>
      </w:r>
      <w:r>
        <w:t>anation as clinically valid. A respectful programme can acknowledge that people use spiritual and cultural frameworks while still correcting harmful misinformation.</w:t>
      </w:r>
    </w:p>
    <w:p w:rsidR="00556A1D" w:rsidRDefault="002F7688">
      <w:pPr>
        <w:jc w:val="both"/>
      </w:pPr>
      <w:r>
        <w:t>The Juba evidence should not be used to portray South Sudanese culture as uniformly pronata</w:t>
      </w:r>
      <w:r>
        <w:t xml:space="preserve">list, superstitious or hostile to infertility. Participants reported both stigma and support. Religious coping could be helpful, families could provide resources, and communication was frequently identified as a positive strategy. The programme should not </w:t>
      </w:r>
      <w:r>
        <w:t>frame “culture” itself as the problem but specific practices—blame, ridicule, misinformation, coercion and barriers to care—that can occur within many cultural settings.</w:t>
      </w:r>
    </w:p>
    <w:p w:rsidR="00556A1D" w:rsidRDefault="002F7688">
      <w:pPr>
        <w:jc w:val="both"/>
      </w:pPr>
      <w:r>
        <w:t xml:space="preserve">A participatory development process can help prevent stereotyping. Couples with lived </w:t>
      </w:r>
      <w:r>
        <w:t xml:space="preserve">experience, clinicians, counsellors, community representatives and faith leaders can review messages before use. Multiple language versions should be cognitively tested rather than literally translated. Examples should reflect ordinary family interactions </w:t>
      </w:r>
      <w:r>
        <w:t>without sensationalising infertility. Such co-design would also identify which terms for counselling or mental health are acceptable and understandable.</w:t>
      </w:r>
    </w:p>
    <w:p w:rsidR="00556A1D" w:rsidRDefault="002F7688">
      <w:pPr>
        <w:pStyle w:val="Heading2"/>
        <w:spacing w:line="360" w:lineRule="auto"/>
        <w:rPr>
          <w:sz w:val="26"/>
        </w:rPr>
      </w:pPr>
      <w:r>
        <w:rPr>
          <w:sz w:val="26"/>
        </w:rPr>
        <w:t>5.8 From awareness to referral: when education is not enough</w:t>
      </w:r>
    </w:p>
    <w:p w:rsidR="00556A1D" w:rsidRDefault="002F7688">
      <w:pPr>
        <w:jc w:val="both"/>
      </w:pPr>
      <w:r>
        <w:t>Psychoeducation cannot substitute for clin</w:t>
      </w:r>
      <w:r>
        <w:t>ical mental-health care. The parent thesis identified depressed mood, anxiety, hopelessness, irritability and other manifestations, and its broader assessment included self-harm and suicide-risk questions. Family or faith leaders and other trusted religiou</w:t>
      </w:r>
      <w:r>
        <w:t>s representatives who encounter severe distress need a simple referral protocol rather than being expected to manage risk independently.</w:t>
      </w:r>
    </w:p>
    <w:p w:rsidR="00556A1D" w:rsidRDefault="002F7688">
      <w:pPr>
        <w:jc w:val="both"/>
      </w:pPr>
      <w:r>
        <w:t>Referral messages can be incorporated into all channels. Families can be taught warning signs such as persistent inabil</w:t>
      </w:r>
      <w:r>
        <w:t>ity to function, severe hopelessness, escalating relationship conflict or self-harm thoughts. Community health workers can receive a concise escalation pathway. Faith leaders can be told whom to contact when a congregant requires clinical assessment. The s</w:t>
      </w:r>
      <w:r>
        <w:t>ystem should also explain that referral does not mean the person is 'mad' or that faith has failed. It means the burden requires specialised support.</w:t>
      </w:r>
    </w:p>
    <w:p w:rsidR="00556A1D" w:rsidRDefault="002F7688">
      <w:pPr>
        <w:jc w:val="both"/>
      </w:pPr>
      <w:r>
        <w:t xml:space="preserve">Professional help-seeking was only moderate in the thesis, making normalisation especially important. </w:t>
      </w:r>
      <w:r>
        <w:t>Wider psychoeducation can create a bridge by repeatedly presenting counselling as part of infertility care. Nevertheless, referral is meaningful only where services exist and are affordable. Policy recommendations should therefore pair demand creation with</w:t>
      </w:r>
      <w:r>
        <w:t xml:space="preserve"> investment in counsellor training, integrated reproductive-health pathways and clear directories of available services.</w:t>
      </w:r>
    </w:p>
    <w:p w:rsidR="00556A1D" w:rsidRDefault="002F7688">
      <w:pPr>
        <w:jc w:val="both"/>
      </w:pPr>
      <w:r>
        <w:t>The proposed framework is derived from the study findings and has not been tested as an intervention.</w:t>
      </w:r>
    </w:p>
    <w:p w:rsidR="00556A1D" w:rsidRDefault="00556A1D">
      <w:pPr>
        <w:jc w:val="both"/>
      </w:pPr>
    </w:p>
    <w:p w:rsidR="00556A1D" w:rsidRDefault="002F7688">
      <w:pPr>
        <w:pStyle w:val="Heading2"/>
        <w:spacing w:line="360" w:lineRule="auto"/>
        <w:rPr>
          <w:sz w:val="26"/>
        </w:rPr>
      </w:pPr>
      <w:r>
        <w:rPr>
          <w:sz w:val="26"/>
        </w:rPr>
        <w:lastRenderedPageBreak/>
        <w:t>5.9 Ethical safeguards when psyc</w:t>
      </w:r>
      <w:r>
        <w:rPr>
          <w:sz w:val="26"/>
        </w:rPr>
        <w:t>hoeducation moves into public and faith spaces</w:t>
      </w:r>
    </w:p>
    <w:p w:rsidR="00556A1D" w:rsidRDefault="002F7688">
      <w:pPr>
        <w:jc w:val="both"/>
      </w:pPr>
      <w:r>
        <w:t>Moving psychoeducation outside clinical settings increases reach but also increases ethical complexity. In a clinic, confidentiality expectations are relatively explicit: records are protected, staff roles are</w:t>
      </w:r>
      <w:r>
        <w:t xml:space="preserve"> defined and private consultation spaces can be created. In a family meeting, community dialogue or place of worship, those boundaries may be less clear. A relative may repeat what was heard to other family members. A congregant may recognise a couple from</w:t>
      </w:r>
      <w:r>
        <w:t xml:space="preserve"> an example. A well-intentioned community health worker may discuss a case with local leaders. For this reason, non-clinical psychoeducation should default to general information unless the affected couple has explicitly authorised discussion of their own </w:t>
      </w:r>
      <w:r>
        <w:t>circumstances. The principle should be education without identification.</w:t>
      </w:r>
    </w:p>
    <w:p w:rsidR="00556A1D" w:rsidRDefault="002F7688">
      <w:pPr>
        <w:jc w:val="both"/>
      </w:pPr>
      <w:r>
        <w:t>Consent for family involvement should also be treated as revisable rather than permanent. A participant who initially invites a parent or sibling may later prefer privacy if the relat</w:t>
      </w:r>
      <w:r>
        <w:t>ive becomes intrusive. Couples may disagree about whom to involve, and one partner's request to disclose should not automatically override the other's confidentiality. Services can manage this by distinguishing shared information from individual informatio</w:t>
      </w:r>
      <w:r>
        <w:t>n. General treatment concepts can be discussed jointly, while personal diagnoses, sexual histories or psychological disclosures remain private unless both the relevant patient and the clinical team agree to share them.</w:t>
      </w:r>
    </w:p>
    <w:p w:rsidR="00556A1D" w:rsidRDefault="002F7688">
      <w:pPr>
        <w:jc w:val="both"/>
      </w:pPr>
      <w:r>
        <w:t>The same caution applies to faith lea</w:t>
      </w:r>
      <w:r>
        <w:t>ders. A trusted pastor, priest or imam may offer valuable support, but trust is relational rather than institutional. Some individuals will welcome faith involvement; others may fear judgement or prefer secular counselling. Referral forms or psychoeducatio</w:t>
      </w:r>
      <w:r>
        <w:t xml:space="preserve">n materials should therefore present faith-based support as optional. The legitimacy of the programme depends partly on protecting the right not to involve religious actors. Respect for religion includes respect for personal differences in how religion is </w:t>
      </w:r>
      <w:r>
        <w:t>used during illness and treatment.</w:t>
      </w:r>
    </w:p>
    <w:p w:rsidR="00556A1D" w:rsidRDefault="002F7688">
      <w:pPr>
        <w:jc w:val="both"/>
      </w:pPr>
      <w:r>
        <w:t>Community interventions also create a risk of unintended labelling. If an infertility-awareness event is held only for known patients, attendance itself can disclose reproductive difficulty. Integrating messages into broa</w:t>
      </w:r>
      <w:r>
        <w:t>der reproductive-health, marriage-health or mental-health programmes can reduce this risk. Radio discussions and general community forums can similarly address infertility without requiring affected couples to identify themselves. Where people with lived e</w:t>
      </w:r>
      <w:r>
        <w:t>xperience choose to speak publicly, their participation should be voluntary, informed and free from pressure to provide personal details for programme credibility.</w:t>
      </w:r>
    </w:p>
    <w:p w:rsidR="00556A1D" w:rsidRDefault="002F7688">
      <w:pPr>
        <w:jc w:val="both"/>
      </w:pPr>
      <w:r>
        <w:t>Safeguards are especially important for gendered blame. A poorly framed message that 'men ca</w:t>
      </w:r>
      <w:r>
        <w:t>n also cause infertility' might simply transfer blame from women to men instead of promoting shared responsibility. Education should therefore avoid causal accusations at the individual level and emphasise that appropriate assessment is needed before attri</w:t>
      </w:r>
      <w:r>
        <w:t>buting reproductive factors. The ethical objective is to reduce blame, not redistribute it. This is consistent with the thesis finding that psychosocial burden affected both sexes even though the forms of exposure could differ.</w:t>
      </w:r>
    </w:p>
    <w:p w:rsidR="00556A1D" w:rsidRDefault="002F7688">
      <w:pPr>
        <w:jc w:val="both"/>
      </w:pPr>
      <w:r>
        <w:t>Finally, psychoeducation mus</w:t>
      </w:r>
      <w:r>
        <w:t>t be connected to a response pathway for serious psychological risk. General awareness may prompt people to disclose hopelessness, self-harm thoughts, violence or coercion. Community and faith partners need to know that these disclosures exceed the remit o</w:t>
      </w:r>
      <w:r>
        <w:t>f ordinary psychoeducation. A simple escalation protocol should identify whom to contact, what information may be shared for safety, and how urgent referral is arranged. Expanding awareness without strengthening referral can create a situation in which pro</w:t>
      </w:r>
      <w:r>
        <w:t>blems are identified but not managed.</w:t>
      </w:r>
    </w:p>
    <w:p w:rsidR="00556A1D" w:rsidRDefault="002F7688">
      <w:pPr>
        <w:pStyle w:val="Heading2"/>
        <w:spacing w:line="360" w:lineRule="auto"/>
        <w:rPr>
          <w:sz w:val="26"/>
        </w:rPr>
      </w:pPr>
      <w:r>
        <w:rPr>
          <w:sz w:val="26"/>
        </w:rPr>
        <w:t>5.10 Designing feasible psychoeducation for a low-resource health system</w:t>
      </w:r>
    </w:p>
    <w:p w:rsidR="00556A1D" w:rsidRDefault="002F7688">
      <w:pPr>
        <w:jc w:val="both"/>
      </w:pPr>
      <w:r>
        <w:t>The feasibility of psychoeducation is one of its strongest advantages in a setting where specialist infertility and mental-health services are li</w:t>
      </w:r>
      <w:r>
        <w:t xml:space="preserve">mited. A programme does not require every health facility to employ a reproductive psychologist. Core messages can be integrated into existing reproductive-health consultations, nursing education, community health outreach and counselling structures. What </w:t>
      </w:r>
      <w:r>
        <w:t xml:space="preserve">is required is standardised content, basic staff training and a referral map. This makes </w:t>
      </w:r>
      <w:r>
        <w:lastRenderedPageBreak/>
        <w:t>psychoeducation potentially scalable even where advanced assisted reproductive technology remains inaccessible to many couples.</w:t>
      </w:r>
    </w:p>
    <w:p w:rsidR="00556A1D" w:rsidRDefault="002F7688">
      <w:pPr>
        <w:jc w:val="both"/>
      </w:pPr>
      <w:r>
        <w:t>A tiered delivery model may be most rea</w:t>
      </w:r>
      <w:r>
        <w:t>listic. At the first tier, all couples receive a brief clinic explanation of infertility, emotional reactions, partner communication and available supports. At the second tier, couples who request it can receive a family session or more detailed counsellin</w:t>
      </w:r>
      <w:r>
        <w:t>g. At the third tier, people with elevated distress, severe relationship problems or safety concerns are referred for specialised psychological or psychiatric assessment. Community and faith education operates alongside these tiers by reducing stigma and i</w:t>
      </w:r>
      <w:r>
        <w:t>ncreasing awareness of where help can be obtained.</w:t>
      </w:r>
    </w:p>
    <w:p w:rsidR="00556A1D" w:rsidRDefault="002F7688">
      <w:pPr>
        <w:jc w:val="both"/>
      </w:pPr>
      <w:r>
        <w:t>Printed materials can support consistency but should not be the only format. Literacy levels, language preferences and visual accessibility vary. Short audio messages, radio discussions and clinician-recor</w:t>
      </w:r>
      <w:r>
        <w:t>ded voice notes may be more useful for some populations. Visual materials can depict supportive family responses and shared treatment decision-making without relying on dense text. The content should be piloted with people who reflect the intended audience</w:t>
      </w:r>
      <w:r>
        <w:t>, because apparently simple biomedical terms may have very different local meanings.</w:t>
      </w:r>
    </w:p>
    <w:p w:rsidR="00556A1D" w:rsidRDefault="002F7688">
      <w:pPr>
        <w:jc w:val="both"/>
      </w:pPr>
      <w:r>
        <w:t>Training requirements for non-specialist educators should be deliberately narrow. Community health workers and faith leaders do not need to master reproductive endocrinolo</w:t>
      </w:r>
      <w:r>
        <w:t>gy. They need a small number of accurate messages, language for responding without blame, clear boundaries about what they should not advise, and a referral pathway. Overloading non-specialists with complex clinical content risks error and reduces programm</w:t>
      </w:r>
      <w:r>
        <w:t>e sustainability. The clinic can remain responsible for diagnosis and treatment explanations, while community partners focus on stigma reduction, supportive communication and service navigation.</w:t>
      </w:r>
    </w:p>
    <w:p w:rsidR="00556A1D" w:rsidRDefault="002F7688">
      <w:pPr>
        <w:jc w:val="both"/>
      </w:pPr>
      <w:r>
        <w:t>Cost is also an implementation consideration. The thesis demo</w:t>
      </w:r>
      <w:r>
        <w:t>nstrated that economic burden was substantial and that family financial support related to distress. Psychoeducation should not add hidden costs through repeated travel or mandatory family attendance. Brief education can be attached to existing appointment</w:t>
      </w:r>
      <w:r>
        <w:t>s, and community components can use platforms people already access. Where telephone follow-up is used, services should consider airtime costs and privacy. Low-resource design means reducing the burden of receiving psychosocial support, not merely reducing</w:t>
      </w:r>
      <w:r>
        <w:t xml:space="preserve"> the programme's expenditure.</w:t>
      </w:r>
    </w:p>
    <w:p w:rsidR="00556A1D" w:rsidRDefault="002F7688">
      <w:pPr>
        <w:jc w:val="both"/>
      </w:pPr>
      <w:r>
        <w:t>The content may also need to change across the treatment trajectory. Before treatment, couples may need information about diagnostic uncertainty, male and female evaluation and emotional preparation. During treatment, they may</w:t>
      </w:r>
      <w:r>
        <w:t xml:space="preserve"> need stress-management, communication and financial decision support. After unsuccessful treatment, psychoeducation may need to address grief, future choices and social questions from relatives. A one-off awareness session cannot meet these changing needs</w:t>
      </w:r>
      <w:r>
        <w:t>. Continuity is therefore a more useful design principle than a single educational event.</w:t>
      </w:r>
    </w:p>
    <w:p w:rsidR="00556A1D" w:rsidRDefault="002F7688">
      <w:pPr>
        <w:pStyle w:val="Heading2"/>
        <w:spacing w:line="360" w:lineRule="auto"/>
        <w:rPr>
          <w:sz w:val="26"/>
        </w:rPr>
      </w:pPr>
      <w:r>
        <w:rPr>
          <w:sz w:val="26"/>
        </w:rPr>
        <w:t>5.11 Evaluation framework and future research agenda</w:t>
      </w:r>
    </w:p>
    <w:p w:rsidR="00556A1D" w:rsidRDefault="002F7688">
      <w:pPr>
        <w:jc w:val="both"/>
      </w:pPr>
      <w:r>
        <w:t>Because the present study did not test a psychoeducation intervention, the next research step should be implement</w:t>
      </w:r>
      <w:r>
        <w:t>ation and outcome evaluation. The first phase should establish acceptability: Do couples want family sessions? Which community channels are trusted? What concerns do Christian and Muslim participants have about faith-linked delivery? Which messages are und</w:t>
      </w:r>
      <w:r>
        <w:t>erstandable and which cause discomfort? Qualitative interviews and cognitive testing can answer these questions before a larger trial is attempted.</w:t>
      </w:r>
    </w:p>
    <w:p w:rsidR="00556A1D" w:rsidRDefault="002F7688">
      <w:pPr>
        <w:jc w:val="both"/>
      </w:pPr>
      <w:r>
        <w:t xml:space="preserve">A subsequent phase should assess implementation outcomes such as reach, fidelity, confidentiality breaches, </w:t>
      </w:r>
      <w:r>
        <w:t>referral completion and participant satisfaction. These outcomes are important because a programme can improve knowledge while failing operationally. For example, a radio campaign may reach many people but provide no path for questions. A family session ma</w:t>
      </w:r>
      <w:r>
        <w:t>y be well received but inconsistently delivered. Faith leaders may endorse referral in principle but lack updated contact information. Implementation metrics identify these practical failures before effectiveness is judged.</w:t>
      </w:r>
    </w:p>
    <w:p w:rsidR="00556A1D" w:rsidRDefault="002F7688">
      <w:pPr>
        <w:jc w:val="both"/>
      </w:pPr>
      <w:r>
        <w:t xml:space="preserve">Effectiveness evaluation should </w:t>
      </w:r>
      <w:r>
        <w:t xml:space="preserve">measure outcomes that correspond to the programme's actual objectives. Family psychoeducation might be evaluated through changes in blame, supportive communication and couple-reported family </w:t>
      </w:r>
      <w:r>
        <w:lastRenderedPageBreak/>
        <w:t>pressure. Community education might be evaluated through stigma a</w:t>
      </w:r>
      <w:r>
        <w:t>ttitudes and willingness to support affected couples. Faith-leader training might be evaluated through referral confidence, accuracy of key messages and avoidance of harmful explanations. Clinical outcomes such as pregnancy should not be treated as the pri</w:t>
      </w:r>
      <w:r>
        <w:t>mary measure of psychoeducation because the intervention is designed to improve psychosocial care rather than guarantee reproductive success.</w:t>
      </w:r>
    </w:p>
    <w:p w:rsidR="00556A1D" w:rsidRDefault="002F7688">
      <w:pPr>
        <w:jc w:val="both"/>
      </w:pPr>
      <w:r>
        <w:t xml:space="preserve">Research should also examine unintended effects. Community attention to infertility could increase questioning of </w:t>
      </w:r>
      <w:r>
        <w:t>couples if messages are poorly designed. Family involvement could intensify control if relatives believe education gives them authority over treatment. Faith-based engagement could reinforce moral interpretations if training is superficial. These possibili</w:t>
      </w:r>
      <w:r>
        <w:t>ties make adverse-event monitoring relevant even for an educational programme. Participants should have a route to report harm or unwanted disclosure.</w:t>
      </w:r>
    </w:p>
    <w:p w:rsidR="00556A1D" w:rsidRDefault="002F7688">
      <w:pPr>
        <w:jc w:val="both"/>
      </w:pPr>
      <w:r>
        <w:t>Future studies would benefit from complete dyadic identifiers so that partner-level effects can be analys</w:t>
      </w:r>
      <w:r>
        <w:t>ed directly. The current database allowed inclusion of both women and men but not complete matched-couple modelling. Dyadic data could test whether one partner's perceived family support influences the other's distress, whether spouses differ in desired le</w:t>
      </w:r>
      <w:r>
        <w:t>vels of family involvement, and whether shared versus discrepant religious coping affects adjustment. Such analysis would strengthen the couple-centred evidence base beyond individual-level approximation.</w:t>
      </w:r>
    </w:p>
    <w:p w:rsidR="00556A1D" w:rsidRDefault="002F7688">
      <w:pPr>
        <w:jc w:val="both"/>
      </w:pPr>
      <w:r>
        <w:t>Geographic expansion is also necessary. Juba is soc</w:t>
      </w:r>
      <w:r>
        <w:t>ially and institutionally distinctive, and South Sudan contains diverse communities with different languages, kinship structures, religious compositions and access to healthcare. Pilot programmes should therefore be adapted and tested in additional locatio</w:t>
      </w:r>
      <w:r>
        <w:t>ns before national scale-up. The purpose of the present article is to provide a grounded starting framework from Juba, not to assume a single model will fit the entire country.</w:t>
      </w:r>
    </w:p>
    <w:p w:rsidR="00556A1D" w:rsidRDefault="002F7688">
      <w:pPr>
        <w:pStyle w:val="Heading2"/>
        <w:spacing w:line="360" w:lineRule="auto"/>
        <w:rPr>
          <w:sz w:val="26"/>
        </w:rPr>
      </w:pPr>
      <w:r>
        <w:rPr>
          <w:sz w:val="26"/>
        </w:rPr>
        <w:t>5.12 Core content for a South Sudan-specific psychoeducation package</w:t>
      </w:r>
    </w:p>
    <w:p w:rsidR="00556A1D" w:rsidRDefault="002F7688">
      <w:pPr>
        <w:jc w:val="both"/>
      </w:pPr>
      <w:r>
        <w:t xml:space="preserve">The study </w:t>
      </w:r>
      <w:r>
        <w:t>findings can be translated into a core content package that remains consistent across clinic, family, community and faith settings while changing the depth of presentation. The first domain should be reproductive-health literacy. It should explain that inf</w:t>
      </w:r>
      <w:r>
        <w:t>ertility is a health condition, that causes may involve women, men, both partners or remain unexplained, and that one partner should not be blamed before appropriate assessment. This content directly addresses the gendered attribution identified in partici</w:t>
      </w:r>
      <w:r>
        <w:t>pants' accounts and creates a shared factual foundation for all other messages.</w:t>
      </w:r>
    </w:p>
    <w:p w:rsidR="00556A1D" w:rsidRDefault="002F7688">
      <w:pPr>
        <w:jc w:val="both"/>
      </w:pPr>
      <w:r>
        <w:t>The second domain should be psychosocial literacy. Families and community actors need to know that sadness, anxiety, frustration, shame, irritability and withdrawal can occur d</w:t>
      </w:r>
      <w:r>
        <w:t>uring infertility without implying that psychological problems caused the infertility. This distinction is important because people may otherwise use the presence of distress as evidence that the affected person is unstable or responsible for treatment fai</w:t>
      </w:r>
      <w:r>
        <w:t>lure. Psychoeducation should normalise emotional reactions while identifying when symptoms become severe enough to require professional assessment.</w:t>
      </w:r>
    </w:p>
    <w:p w:rsidR="00556A1D" w:rsidRDefault="002F7688">
      <w:pPr>
        <w:jc w:val="both"/>
      </w:pPr>
      <w:r>
        <w:t>The third domain should address communication and boundaries. Couples can be encouraged to decide together w</w:t>
      </w:r>
      <w:r>
        <w:t>ho should know about treatment, what information can be shared and how they want relatives to respond. Families can be taught to ask whether help is wanted rather than assuming entitlement to information. Community messages can discourage repeated question</w:t>
      </w:r>
      <w:r>
        <w:t>ing about pregnancy. Faith leaders can be encouraged to offer support without requesting diagnostic details. These simple boundary practices may reduce the burden created by surveillance and involuntary disclosure.</w:t>
      </w:r>
    </w:p>
    <w:p w:rsidR="00556A1D" w:rsidRDefault="002F7688">
      <w:pPr>
        <w:jc w:val="both"/>
      </w:pPr>
      <w:r>
        <w:t xml:space="preserve">The fourth domain should focus on stigma </w:t>
      </w:r>
      <w:r>
        <w:t>and harmful explanatory models. General education should challenge claims that infertility proves defective womanhood, failed masculinity, witchcraft, curses, immorality or insufficient faith. The purpose is not to attack cultural or religious beliefs as a</w:t>
      </w:r>
      <w:r>
        <w:t xml:space="preserve"> whole but to identify interpretations that produce blame, delay appropriate care or expose couples to humiliation. Alternative supportive language can acknowledge spiritual meaning while emphasising compassion, uncertainty and appropriate medical evaluati</w:t>
      </w:r>
      <w:r>
        <w:t>on.</w:t>
      </w:r>
    </w:p>
    <w:p w:rsidR="00556A1D" w:rsidRDefault="002F7688">
      <w:pPr>
        <w:jc w:val="both"/>
      </w:pPr>
      <w:r>
        <w:t xml:space="preserve">The fifth domain should cover practical support and treatment decision-making. Relatives often want to help but may not know what is useful. Psychoeducation can suggest concrete forms of support: transport, help with appointments, temporary </w:t>
      </w:r>
      <w:r>
        <w:lastRenderedPageBreak/>
        <w:t>financial a</w:t>
      </w:r>
      <w:r>
        <w:t>ssistance, protection from intrusive questions and respectful listening. It should also explain that treatment decisions remain with the couple and clinicians. Financial contribution should not create a right to force continued treatment, demand results or</w:t>
      </w:r>
      <w:r>
        <w:t xml:space="preserve"> determine whether adoption, another marriage or other family-building choices are pursued.</w:t>
      </w:r>
    </w:p>
    <w:p w:rsidR="00556A1D" w:rsidRDefault="002F7688">
      <w:pPr>
        <w:jc w:val="both"/>
      </w:pPr>
      <w:r>
        <w:t xml:space="preserve">The sixth domain should address faith and coping. Prayer, religious participation and spiritual counsel can be presented as legitimate coping resources when chosen </w:t>
      </w:r>
      <w:r>
        <w:t>by the couple. At the same time, faith-based material should state clearly that spiritual practices do not replace medical assessment and should not be used to promise conception. A responsible message can hold hope and uncertainty together: people may pra</w:t>
      </w:r>
      <w:r>
        <w:t>y for pregnancy while also preparing emotionally for treatment setbacks and seeking professional support when needed.</w:t>
      </w:r>
    </w:p>
    <w:p w:rsidR="00556A1D" w:rsidRDefault="002F7688">
      <w:pPr>
        <w:jc w:val="both"/>
      </w:pPr>
      <w:r>
        <w:t>The seventh domain should provide a visible help-seeking pathway. Every version of the psychoeducation package should name the types of as</w:t>
      </w:r>
      <w:r>
        <w:t>sistance available—medical review, counselling, psychological assessment, social support and urgent mental-health care—and explain when each is appropriate. Community and faith partners should receive a short referral directory rather than a general instru</w:t>
      </w:r>
      <w:r>
        <w:t>ction merely to “seek help”. This turns psychoeducation from awareness into navigation and addresses the thesis finding that professional help-seeking was less strongly represented than communication and informal support.</w:t>
      </w:r>
    </w:p>
    <w:p w:rsidR="00556A1D" w:rsidRDefault="002F7688">
      <w:pPr>
        <w:jc w:val="both"/>
      </w:pPr>
      <w:r>
        <w:t>Finally, the package should end wi</w:t>
      </w:r>
      <w:r>
        <w:t>th dignity and autonomy. Couples experiencing infertility are not educational objects for the community. They retain the right to privacy, to accept or decline family involvement, to choose whether faith leaders participate, and to make treatment decisions</w:t>
      </w:r>
      <w:r>
        <w:t xml:space="preserve"> without coercion. This closing principle connects the practical content to the ethical safeguards discussed above. A programme that increases knowledge but reduces autonomy would not constitute successful psychosocial care.</w:t>
      </w:r>
    </w:p>
    <w:p w:rsidR="00556A1D" w:rsidRDefault="002F7688">
      <w:pPr>
        <w:jc w:val="both"/>
      </w:pPr>
      <w:r>
        <w:t>This content framework also pro</w:t>
      </w:r>
      <w:r>
        <w:t>vides a practical basis for training. Rather than teaching every stakeholder identical material, modules can be tailored to each role: clinicians receive the full package, family members receive support and boundary guidance, community educators receive an</w:t>
      </w:r>
      <w:r>
        <w:t>ti-stigma messages, and faith leaders receive supportive-language and referral guidance. Role-specific training can improve accuracy while keeping implementation manageable.</w:t>
      </w:r>
    </w:p>
    <w:p w:rsidR="00556A1D" w:rsidRDefault="002F7688">
      <w:pPr>
        <w:pStyle w:val="Heading1"/>
        <w:spacing w:line="360" w:lineRule="auto"/>
        <w:rPr>
          <w:szCs w:val="26"/>
        </w:rPr>
      </w:pPr>
      <w:r>
        <w:rPr>
          <w:szCs w:val="26"/>
        </w:rPr>
        <w:t>6. Implications for Practice, Programme Design and Policy</w:t>
      </w:r>
    </w:p>
    <w:p w:rsidR="00556A1D" w:rsidRDefault="002F7688">
      <w:pPr>
        <w:jc w:val="both"/>
      </w:pPr>
      <w:r>
        <w:t xml:space="preserve">First, infertility </w:t>
      </w:r>
      <w:r>
        <w:t>clinics and reproductive-health services should develop a short, standard psychoeducation package that can be delivered to couples and adapted for selected relatives. Core content should cover causes, the possibility of male and female factors, emotional r</w:t>
      </w:r>
      <w:r>
        <w:t>eactions, communication, treatment uncertainty and referral. The package should include a privacy statement explaining that family participation is optional.</w:t>
      </w:r>
    </w:p>
    <w:p w:rsidR="00556A1D" w:rsidRDefault="002F7688">
      <w:pPr>
        <w:jc w:val="both"/>
      </w:pPr>
      <w:r>
        <w:t>Second, services should create family-session criteria rather than inviting relatives automaticall</w:t>
      </w:r>
      <w:r>
        <w:t>y. Family involvement is most appropriate when the couple requests it and when the goal is clear—for example, correcting blame, planning practical support or reducing conflict about treatment costs. Individual sessions should remain available where joint d</w:t>
      </w:r>
      <w:r>
        <w:t>iscussion is unsafe or unwanted.</w:t>
      </w:r>
    </w:p>
    <w:p w:rsidR="00556A1D" w:rsidRDefault="002F7688">
      <w:pPr>
        <w:jc w:val="both"/>
      </w:pPr>
      <w:r>
        <w:t>Third, community education should focus on general anti-stigma messages. Radio programmes, community health talks and printed materials can correct myths about curses, moral failure and exclusive female responsibility. Mess</w:t>
      </w:r>
      <w:r>
        <w:t>aging should protect privacy by avoiding public identification of people receiving infertility care.</w:t>
      </w:r>
    </w:p>
    <w:p w:rsidR="00556A1D" w:rsidRDefault="002F7688">
      <w:pPr>
        <w:jc w:val="both"/>
      </w:pPr>
      <w:r>
        <w:t>Fourth, ministries, health facilities and professional associations can engage faith leaders as referral allies. Orientation should be concise and specific</w:t>
      </w:r>
      <w:r>
        <w:t>: supportive language, basic facts about infertility, avoidance of blame or guaranteed pregnancy claims, confidentiality and indications for referral. Engagement should include Christian and Muslim leaders and remain open to other locally relevant faith co</w:t>
      </w:r>
      <w:r>
        <w:t>mmunities where appropriate.</w:t>
      </w:r>
    </w:p>
    <w:p w:rsidR="00556A1D" w:rsidRDefault="002F7688">
      <w:pPr>
        <w:jc w:val="both"/>
      </w:pPr>
      <w:r>
        <w:lastRenderedPageBreak/>
        <w:t>Fifth, programme evaluation should measure more than knowledge. Useful outcomes include stigma attitudes, willingness to support both partners, referral confidence, couple-reported family pressure, perceived community judgement</w:t>
      </w:r>
      <w:r>
        <w:t xml:space="preserve"> and actual use of counselling where available. Knowledge gains alone may not demonstrate that the social environment has become safer.</w:t>
      </w:r>
    </w:p>
    <w:p w:rsidR="00556A1D" w:rsidRDefault="002F7688">
      <w:pPr>
        <w:jc w:val="both"/>
      </w:pPr>
      <w:r>
        <w:t>Sixth, national and institutional policy should integrate psychosocial infertility care into reproductive-health plannin</w:t>
      </w:r>
      <w:r>
        <w:t>g rather than treating it as an optional add-on to assisted reproduction. In a setting where specialist fertility treatment is limited, low-cost psychoeducation, stigma reduction and referral may offer immediately feasible benefits even before advanced tec</w:t>
      </w:r>
      <w:r>
        <w:t>hnologies become widely accessible.</w:t>
      </w:r>
    </w:p>
    <w:p w:rsidR="00556A1D" w:rsidRDefault="002F7688">
      <w:pPr>
        <w:jc w:val="both"/>
      </w:pPr>
      <w:r>
        <w:t>Seventh, future intervention trials should test the proposed multi-channel model rather than assuming it works. Cluster or stepped-wedge designs could compare clinic-only education with clinic-plus-community or clinic-pl</w:t>
      </w:r>
      <w:r>
        <w:t>us-faith components, provided ethical safeguards prevent withholding essential information. Qualitative process evaluation should examine whether community messages are reinterpreted in ways that help or harm couples.</w:t>
      </w:r>
    </w:p>
    <w:p w:rsidR="00556A1D" w:rsidRDefault="002F7688">
      <w:pPr>
        <w:pStyle w:val="Heading1"/>
        <w:spacing w:line="360" w:lineRule="auto"/>
        <w:rPr>
          <w:szCs w:val="26"/>
        </w:rPr>
      </w:pPr>
      <w:r>
        <w:rPr>
          <w:szCs w:val="26"/>
        </w:rPr>
        <w:t>7. Strengths and Limitations</w:t>
      </w:r>
    </w:p>
    <w:p w:rsidR="00556A1D" w:rsidRDefault="002F7688">
      <w:pPr>
        <w:jc w:val="both"/>
      </w:pPr>
      <w:r>
        <w:t>A strengt</w:t>
      </w:r>
      <w:r>
        <w:t>h of this paper is its integration of quantitative and qualitative evidence around a clearly defined social-ecological question. The analysis includes both women and men, incorporates religious affiliation, quantifies several psychosocial and psychoeducati</w:t>
      </w:r>
      <w:r>
        <w:t>on domains, and preserves participants' own calls for awareness in family, church and community settings. The findings are therefore more informative for programme design than a purely symptom-focused account.</w:t>
      </w:r>
    </w:p>
    <w:p w:rsidR="00556A1D" w:rsidRDefault="002F7688">
      <w:pPr>
        <w:jc w:val="both"/>
      </w:pPr>
      <w:r>
        <w:t xml:space="preserve">Several limitations are important. The design </w:t>
      </w:r>
      <w:r>
        <w:t xml:space="preserve">was cross-sectional and cannot establish that family support, faith participation or psychoeducation caused better coping or lower distress. The database supported individual-level rather than fully matched dyadic analysis, limiting inference about shared </w:t>
      </w:r>
      <w:r>
        <w:t>couple networks. The faith analysis is descriptive: the study did not compare psychosocial outcomes between Christian and Muslim participants, and this article does not make such a comparison. Theme counts reflect coded responses rather than mutually exclu</w:t>
      </w:r>
      <w:r>
        <w:t>sive prevalence. The psychoeducation coding framework was study-derived and should not be treated as a validated intervention-outcome scale.</w:t>
      </w:r>
    </w:p>
    <w:p w:rsidR="00556A1D" w:rsidRDefault="002F7688">
      <w:pPr>
        <w:jc w:val="both"/>
      </w:pPr>
      <w:r>
        <w:t>The sample was located in Juba and cannot be generalised to all of South Sudan, where communities, languages, faith</w:t>
      </w:r>
      <w:r>
        <w:t xml:space="preserve"> traditions and service access differ. Participants who were connected to infertility-related care may differ from people unable or unwilling to seek services. The study also did not evaluate an implemented family-, community- or faith-based psychoeducatio</w:t>
      </w:r>
      <w:r>
        <w:t>n programme. The proposed framework is therefore evidence-informed programme design, not trial evidence of effectiveness.</w:t>
      </w:r>
    </w:p>
    <w:p w:rsidR="00556A1D" w:rsidRDefault="002F7688">
      <w:pPr>
        <w:jc w:val="both"/>
      </w:pPr>
      <w:r>
        <w:t>Finally, this manuscript is a focused publication from a larger doctoral dataset. Some descriptive statistics necessarily overlap with</w:t>
      </w:r>
      <w:r>
        <w:t xml:space="preserve"> related manuscripts because they establish the common parent sample and analytic context. Distinctiveness is maintained through the present paper's social-ecological research question, its family/community/faith integration and its specific programme impl</w:t>
      </w:r>
      <w:r>
        <w:t>ications. Related publications should transparently cross-reference the shared dataset during journal submission.</w:t>
      </w:r>
    </w:p>
    <w:p w:rsidR="00556A1D" w:rsidRDefault="002F7688">
      <w:pPr>
        <w:pStyle w:val="Heading1"/>
        <w:spacing w:line="360" w:lineRule="auto"/>
        <w:rPr>
          <w:szCs w:val="26"/>
        </w:rPr>
      </w:pPr>
      <w:r>
        <w:rPr>
          <w:szCs w:val="26"/>
        </w:rPr>
        <w:t>8. Conclusion</w:t>
      </w:r>
    </w:p>
    <w:p w:rsidR="00556A1D" w:rsidRDefault="002F7688">
      <w:pPr>
        <w:jc w:val="both"/>
      </w:pPr>
      <w:r>
        <w:t>Infertility care in Juba cannot be understood only through what happens between patient and clinician. The strongest psychosocia</w:t>
      </w:r>
      <w:r>
        <w:t>l domain in the parent study was family/community stigma, and participants themselves called for psychoeducation in families, churches and communities. Communication and support were valued, yet community misconception correction and professional help-seek</w:t>
      </w:r>
      <w:r>
        <w:t>ing were less strongly represented. Regular family financial support was associated with lower distress, suggesting that the social environment may also provide meaningful resources. These findings support an expanded model in which accurate clinic-based p</w:t>
      </w:r>
      <w:r>
        <w:t xml:space="preserve">sychoeducation is linked to consent-based family sessions, general community anti-stigma education and carefully bounded collaboration with faith leaders. Such expansion must </w:t>
      </w:r>
      <w:r>
        <w:lastRenderedPageBreak/>
        <w:t>preserve confidentiality, avoid gendered blame, respect religious diversity, reje</w:t>
      </w:r>
      <w:r>
        <w:t>ct promises of pregnancy and maintain clear routes to medical and psychological care. The appropriate goal is not to move infertility treatment out of the clinic, but to ensure that couples return from the clinic to families and communities that are better</w:t>
      </w:r>
      <w:r>
        <w:t xml:space="preserve"> informed, less blaming and more capable of providing support.</w:t>
      </w:r>
    </w:p>
    <w:p w:rsidR="00556A1D" w:rsidRDefault="002F7688">
      <w:pPr>
        <w:pStyle w:val="Heading1"/>
        <w:spacing w:line="360" w:lineRule="auto"/>
        <w:rPr>
          <w:szCs w:val="26"/>
        </w:rPr>
      </w:pPr>
      <w:r>
        <w:rPr>
          <w:szCs w:val="26"/>
        </w:rPr>
        <w:t>References</w:t>
      </w:r>
    </w:p>
    <w:p w:rsidR="00556A1D" w:rsidRDefault="002F7688">
      <w:pPr>
        <w:ind w:left="432" w:hanging="432"/>
        <w:rPr>
          <w:rStyle w:val="Hyperlink"/>
          <w:b/>
          <w:bCs/>
          <w:u w:val="none"/>
        </w:rPr>
      </w:pPr>
      <w:r>
        <w:t>Asiimwe, S., Osingada, C. P., Mbalinda, S. N., Muyingo, M., Ayebare, E., Namutebi, M., &amp; Muwanguzi, P. A. (2022). Women's experiences of living with involuntary childlessness in Ugan</w:t>
      </w:r>
      <w:r>
        <w:t>da: A qualitative study. BMC Women's Health, 22, 532.</w:t>
      </w:r>
      <w:r>
        <w:rPr>
          <w:rStyle w:val="Hyperlink"/>
          <w:b/>
          <w:bCs/>
          <w:u w:val="none"/>
        </w:rPr>
        <w:t xml:space="preserve"> https://doi.org/10.1186/s12905-022-02087-0</w:t>
      </w:r>
    </w:p>
    <w:p w:rsidR="00556A1D" w:rsidRDefault="002F7688">
      <w:pPr>
        <w:ind w:left="432" w:hanging="432"/>
        <w:rPr>
          <w:rStyle w:val="Hyperlink"/>
          <w:b/>
          <w:bCs/>
          <w:u w:val="none"/>
        </w:rPr>
      </w:pPr>
      <w:r>
        <w:t xml:space="preserve">Boivin, J., &amp; Gameiro, S. (2015). Evolution of psychology and counselling in infertility. Fertility and Sterility, 104(2), 251–259. </w:t>
      </w:r>
      <w:r>
        <w:rPr>
          <w:rStyle w:val="Hyperlink"/>
          <w:b/>
          <w:bCs/>
          <w:u w:val="none"/>
        </w:rPr>
        <w:t>https://doi.org/10.1016/j.f</w:t>
      </w:r>
      <w:r>
        <w:rPr>
          <w:rStyle w:val="Hyperlink"/>
          <w:b/>
          <w:bCs/>
          <w:u w:val="none"/>
        </w:rPr>
        <w:t>ertnstert.2015.05.035</w:t>
      </w:r>
    </w:p>
    <w:p w:rsidR="00556A1D" w:rsidRDefault="002F7688">
      <w:pPr>
        <w:ind w:left="432" w:hanging="432"/>
      </w:pPr>
      <w:r>
        <w:t>Braun, V., &amp; Clarke, V. (2006). Using thematic analysis in psychology. Qualitative Research in Psychology, 3(2), 77–101.</w:t>
      </w:r>
    </w:p>
    <w:p w:rsidR="00556A1D" w:rsidRDefault="002F7688">
      <w:pPr>
        <w:ind w:left="432" w:hanging="432"/>
      </w:pPr>
      <w:r>
        <w:t>Braun, V., &amp; Clarke, V. (2021). One size fits all? What counts as quality practice in reflexive thematic analysis</w:t>
      </w:r>
      <w:r>
        <w:t>? Qualitative Research in Psychology, 18(3), 328–352.</w:t>
      </w:r>
    </w:p>
    <w:p w:rsidR="00556A1D" w:rsidRDefault="002F7688">
      <w:pPr>
        <w:ind w:left="432" w:hanging="432"/>
      </w:pPr>
      <w:r>
        <w:t>Cousineau, T. M., &amp; Domar, A. D. (2007). Psychological impact of infertility. Best Practice &amp; Research Clinical Obstetrics &amp; Gynaecology, 21(2), 293–308.</w:t>
      </w:r>
    </w:p>
    <w:p w:rsidR="00556A1D" w:rsidRDefault="002F7688">
      <w:pPr>
        <w:ind w:left="432" w:hanging="432"/>
        <w:rPr>
          <w:rStyle w:val="Hyperlink"/>
          <w:b/>
          <w:bCs/>
          <w:u w:val="none"/>
        </w:rPr>
      </w:pPr>
      <w:r>
        <w:t xml:space="preserve">Dube, L., Bright, K., Hayden, K. A., &amp; Gordon, J. L. (2023). Efficacy of psychological interventions for mental health and pregnancy rates among individuals with infertility: A systematic review and meta-analysis. Human Reproduction Update, 29(1), 71–94. </w:t>
      </w:r>
      <w:r>
        <w:rPr>
          <w:rStyle w:val="Hyperlink"/>
          <w:b/>
          <w:bCs/>
          <w:u w:val="none"/>
        </w:rPr>
        <w:t>h</w:t>
      </w:r>
      <w:r>
        <w:rPr>
          <w:rStyle w:val="Hyperlink"/>
          <w:b/>
          <w:bCs/>
          <w:u w:val="none"/>
        </w:rPr>
        <w:t>ttps://doi.org/10.1093/humupd/dmac034</w:t>
      </w:r>
    </w:p>
    <w:p w:rsidR="00556A1D" w:rsidRDefault="002F7688">
      <w:pPr>
        <w:ind w:left="432" w:hanging="432"/>
        <w:rPr>
          <w:rStyle w:val="Hyperlink"/>
          <w:b/>
          <w:bCs/>
          <w:u w:val="none"/>
        </w:rPr>
      </w:pPr>
      <w:r>
        <w:t xml:space="preserve">Dyer, S. J., Abrahams, N., Hoffman, M., &amp; van der Spuy, Z. M. (2002). 'Men leave me as I cannot have children': Women's experiences with involuntary childlessness. Human Reproduction, 17(6), 1663–1668. </w:t>
      </w:r>
      <w:r>
        <w:rPr>
          <w:rStyle w:val="Hyperlink"/>
          <w:b/>
          <w:bCs/>
          <w:u w:val="none"/>
        </w:rPr>
        <w:t>https://doi.org/</w:t>
      </w:r>
      <w:r>
        <w:rPr>
          <w:rStyle w:val="Hyperlink"/>
          <w:b/>
          <w:bCs/>
          <w:u w:val="none"/>
        </w:rPr>
        <w:t>10.1093/humrep/17.6.1663</w:t>
      </w:r>
    </w:p>
    <w:p w:rsidR="00556A1D" w:rsidRDefault="002F7688">
      <w:pPr>
        <w:ind w:left="432" w:hanging="432"/>
        <w:rPr>
          <w:rStyle w:val="Hyperlink"/>
          <w:b/>
          <w:bCs/>
          <w:u w:val="none"/>
        </w:rPr>
      </w:pPr>
      <w:r>
        <w:t>Dyer, S. J., Abrahams, N., Mokoena, N. E., &amp; van der Spuy, Z. M. (2004). 'You are a man because you have children': Experiences, reproductive health knowledge and treatment-seeking behaviour among men suffering from couple infertil</w:t>
      </w:r>
      <w:r>
        <w:t xml:space="preserve">ity in South Africa. Human Reproduction, 19(4), 960–967. </w:t>
      </w:r>
      <w:r>
        <w:rPr>
          <w:rStyle w:val="Hyperlink"/>
          <w:b/>
          <w:bCs/>
          <w:u w:val="none"/>
        </w:rPr>
        <w:t>https://doi.org/10.1093/humrep/deh195</w:t>
      </w:r>
    </w:p>
    <w:p w:rsidR="00556A1D" w:rsidRDefault="002F7688">
      <w:pPr>
        <w:ind w:left="432" w:hanging="432"/>
        <w:rPr>
          <w:rStyle w:val="Hyperlink"/>
          <w:b/>
          <w:bCs/>
          <w:u w:val="none"/>
        </w:rPr>
      </w:pPr>
      <w:r>
        <w:t xml:space="preserve">Dyer, S. J., Abrahams, N., Mokoena, N. E., Lombard, C. J., &amp; van der Spuy, Z. M. (2005). Psychological distress among women suffering from couple infertility in </w:t>
      </w:r>
      <w:r>
        <w:t xml:space="preserve">South Africa: A quantitative assessment. Human Reproduction, 20(7), 1938–1943. </w:t>
      </w:r>
      <w:r>
        <w:rPr>
          <w:rStyle w:val="Hyperlink"/>
          <w:b/>
          <w:bCs/>
          <w:u w:val="none"/>
        </w:rPr>
        <w:t>https://doi.org/10.1093/humrep/deh845</w:t>
      </w:r>
    </w:p>
    <w:p w:rsidR="00556A1D" w:rsidRDefault="002F7688">
      <w:pPr>
        <w:ind w:left="432" w:hanging="432"/>
        <w:rPr>
          <w:rStyle w:val="Hyperlink"/>
          <w:b/>
          <w:bCs/>
          <w:u w:val="none"/>
        </w:rPr>
      </w:pPr>
      <w:r>
        <w:t>Dyer, S. J., Lombard, C., &amp; van der Spuy, Z. M. (2009). Psychological distress among men suffering from couple infertility in South Africa:</w:t>
      </w:r>
      <w:r>
        <w:t xml:space="preserve"> A quantitative assessment. Human Reproduction, 24(11), 2821–2826. </w:t>
      </w:r>
      <w:r>
        <w:rPr>
          <w:rStyle w:val="Hyperlink"/>
          <w:b/>
          <w:bCs/>
          <w:u w:val="none"/>
        </w:rPr>
        <w:t>https://doi.org/10.1093/humrep/dep278</w:t>
      </w:r>
    </w:p>
    <w:p w:rsidR="00556A1D" w:rsidRDefault="002F7688">
      <w:pPr>
        <w:ind w:left="432" w:hanging="432"/>
        <w:rPr>
          <w:rStyle w:val="Hyperlink"/>
          <w:b/>
          <w:bCs/>
          <w:u w:val="none"/>
        </w:rPr>
      </w:pPr>
      <w:r>
        <w:t>Ekpor, E., Brobbey, S. S., Kumah, C. Y., &amp; Akyirem, S. (2025). Experience of infertility-related stigma in Africa: A systematic review and mixed method</w:t>
      </w:r>
      <w:r>
        <w:t xml:space="preserve">s meta-synthesis. International Health, 17(6), 903–913. </w:t>
      </w:r>
      <w:r>
        <w:rPr>
          <w:rStyle w:val="Hyperlink"/>
          <w:b/>
          <w:bCs/>
          <w:u w:val="none"/>
        </w:rPr>
        <w:t>https://doi.org/10.1093/inthealth/ihaf060</w:t>
      </w:r>
    </w:p>
    <w:p w:rsidR="00556A1D" w:rsidRDefault="002F7688">
      <w:pPr>
        <w:ind w:left="432" w:hanging="432"/>
      </w:pPr>
      <w:r>
        <w:t xml:space="preserve">Engel, G. L. (1977). The need for a new medical model: A challenge for biomedicine. Science, 196(4286), 129–136. </w:t>
      </w:r>
      <w:r>
        <w:rPr>
          <w:rStyle w:val="Hyperlink"/>
          <w:b/>
          <w:bCs/>
          <w:u w:val="none"/>
        </w:rPr>
        <w:t>https://doi.org/10.1126/science.847460</w:t>
      </w:r>
    </w:p>
    <w:p w:rsidR="00556A1D" w:rsidRDefault="002F7688">
      <w:pPr>
        <w:ind w:left="432" w:hanging="432"/>
      </w:pPr>
      <w:r>
        <w:t>Fetter</w:t>
      </w:r>
      <w:r>
        <w:t>s, M. D., Curry, L. A., &amp; Creswell, J. W. (2013). Achieving integration in mixed methods designs—Principles and practices. Health Services Research, 48(6 Pt 2), 2134–2156.</w:t>
      </w:r>
    </w:p>
    <w:p w:rsidR="00556A1D" w:rsidRDefault="002F7688">
      <w:pPr>
        <w:ind w:left="432" w:hanging="432"/>
        <w:rPr>
          <w:rStyle w:val="Hyperlink"/>
          <w:b/>
          <w:bCs/>
          <w:u w:val="none"/>
        </w:rPr>
      </w:pPr>
      <w:r>
        <w:t>Gameiro, S., Boivin, J., Dancet, E., de Klerk, C., Emery, M., Lewis-Jones, C., Thorn</w:t>
      </w:r>
      <w:r>
        <w:t xml:space="preserve">, P., Van den Broeck, U., Venetis, C., Verhaak, C. M., Wischmann, T., &amp; Vermeulen, N. (2015). ESHRE guideline: Routine psychosocial care in infertility </w:t>
      </w:r>
      <w:r>
        <w:lastRenderedPageBreak/>
        <w:t xml:space="preserve">and medically assisted reproduction—A guide for fertility staff. Human Reproduction, 30(11), 2476–2485. </w:t>
      </w:r>
      <w:r>
        <w:rPr>
          <w:rStyle w:val="Hyperlink"/>
          <w:b/>
          <w:bCs/>
          <w:u w:val="none"/>
        </w:rPr>
        <w:t>https://doi.org/10.1093/humrep/dev177</w:t>
      </w:r>
    </w:p>
    <w:p w:rsidR="00556A1D" w:rsidRDefault="002F7688">
      <w:pPr>
        <w:ind w:left="432" w:hanging="432"/>
      </w:pPr>
      <w:r>
        <w:t xml:space="preserve">Hämmerli, K., Znoj, H., &amp; Barth, J. (2009). The efficacy of psychological interventions for infertile patients: A meta-analysis examining mental health and pregnancy rate. Human Reproduction Update, 15(3), 279–295. </w:t>
      </w:r>
      <w:r>
        <w:rPr>
          <w:rStyle w:val="Hyperlink"/>
          <w:b/>
          <w:bCs/>
          <w:u w:val="none"/>
        </w:rPr>
        <w:t>htt</w:t>
      </w:r>
      <w:r>
        <w:rPr>
          <w:rStyle w:val="Hyperlink"/>
          <w:b/>
          <w:bCs/>
          <w:u w:val="none"/>
        </w:rPr>
        <w:t>ps://doi.org/10.1093/humupd/dmp002</w:t>
      </w:r>
    </w:p>
    <w:p w:rsidR="00556A1D" w:rsidRDefault="002F7688">
      <w:pPr>
        <w:ind w:left="432" w:hanging="432"/>
      </w:pPr>
      <w:r>
        <w:t xml:space="preserve">Kiani, Z., Simbar, M., Rashidi, F., &amp; Zayeri, F. (2024). The quality of life of men experiencing infertility: A systematic review. BMC Public Health, 24, 1236. </w:t>
      </w:r>
      <w:r>
        <w:rPr>
          <w:rStyle w:val="Hyperlink"/>
          <w:b/>
          <w:bCs/>
          <w:u w:val="none"/>
        </w:rPr>
        <w:t>https://doi.org/10.1186/s12889-024-18758-6</w:t>
      </w:r>
    </w:p>
    <w:p w:rsidR="00556A1D" w:rsidRDefault="002F7688">
      <w:pPr>
        <w:ind w:left="432" w:hanging="432"/>
        <w:rPr>
          <w:rStyle w:val="Hyperlink"/>
          <w:b/>
          <w:bCs/>
        </w:rPr>
      </w:pPr>
      <w:r>
        <w:t>Labinjo, T. (2022)</w:t>
      </w:r>
      <w:r>
        <w:t>. A qualitative synthesis of the impact of infertility on the mental health of African women. African Journal of Reproductive Health, 26(12), 49–57.</w:t>
      </w:r>
      <w:r>
        <w:rPr>
          <w:rStyle w:val="Hyperlink"/>
          <w:b/>
          <w:bCs/>
          <w:u w:val="none"/>
        </w:rPr>
        <w:t xml:space="preserve"> https://doi.org/10.29063/ajrh2022/v26i12.6</w:t>
      </w:r>
    </w:p>
    <w:p w:rsidR="00556A1D" w:rsidRDefault="002F7688">
      <w:pPr>
        <w:ind w:left="432" w:hanging="432"/>
      </w:pPr>
      <w:r>
        <w:t>Lazarus, R. S., &amp; Folkman, S. (1984). Stress, appraisal, and cop</w:t>
      </w:r>
      <w:r>
        <w:t>ing. Springer.</w:t>
      </w:r>
    </w:p>
    <w:p w:rsidR="00556A1D" w:rsidRDefault="002F7688">
      <w:pPr>
        <w:ind w:left="432" w:hanging="432"/>
        <w:rPr>
          <w:rStyle w:val="Hyperlink"/>
          <w:b/>
          <w:bCs/>
          <w:u w:val="none"/>
        </w:rPr>
      </w:pPr>
      <w:r>
        <w:t xml:space="preserve">Naab, F., Brown, R., &amp; Heidrich, S. (2013). Psychosocial health of infertile Ghanaian women and their infertility beliefs. Journal of Nursing Scholarship, 45(2), 132–140. </w:t>
      </w:r>
      <w:r>
        <w:rPr>
          <w:rStyle w:val="Hyperlink"/>
          <w:b/>
          <w:bCs/>
          <w:u w:val="none"/>
        </w:rPr>
        <w:t>https://doi.org/10.1111/jnu.12013</w:t>
      </w:r>
    </w:p>
    <w:p w:rsidR="00556A1D" w:rsidRDefault="002F7688">
      <w:pPr>
        <w:ind w:left="432" w:hanging="432"/>
        <w:rPr>
          <w:rStyle w:val="Hyperlink"/>
          <w:b/>
          <w:bCs/>
          <w:u w:val="none"/>
        </w:rPr>
      </w:pPr>
      <w:r>
        <w:t>Naab, F., Brown, R., &amp; Ward, E. C. (</w:t>
      </w:r>
      <w:r>
        <w:t>2021). Culturally adapted depression intervention to manage depression among women with infertility in Ghana. Journal of Health Psychology, 26(7), 949–961.</w:t>
      </w:r>
      <w:r>
        <w:t xml:space="preserve"> </w:t>
      </w:r>
      <w:r>
        <w:rPr>
          <w:rStyle w:val="Hyperlink"/>
          <w:b/>
          <w:bCs/>
          <w:u w:val="none"/>
        </w:rPr>
        <w:t>https://doi.org/10.1177/1359105319857175</w:t>
      </w:r>
    </w:p>
    <w:p w:rsidR="00556A1D" w:rsidRDefault="002F7688">
      <w:pPr>
        <w:ind w:left="432" w:hanging="432"/>
        <w:rPr>
          <w:rStyle w:val="Hyperlink"/>
          <w:b/>
          <w:bCs/>
          <w:u w:val="none"/>
        </w:rPr>
      </w:pPr>
      <w:r>
        <w:t xml:space="preserve">Roomaney, R., Salie, M., Jenkins, D., Eder, C., Mutumba-Nakalembe, M. J., Volks, C., Holland, N., &amp; Silingile, K. (2024). A scoping review of the psychosocial aspects of infertility in African countries. Reproductive Health, 21, 123. </w:t>
      </w:r>
      <w:r>
        <w:rPr>
          <w:rStyle w:val="Hyperlink"/>
          <w:b/>
          <w:bCs/>
          <w:u w:val="none"/>
        </w:rPr>
        <w:t>https://doi.org/10.118</w:t>
      </w:r>
      <w:r>
        <w:rPr>
          <w:rStyle w:val="Hyperlink"/>
          <w:b/>
          <w:bCs/>
          <w:u w:val="none"/>
        </w:rPr>
        <w:t>6/s12978-024-01858-2</w:t>
      </w:r>
    </w:p>
    <w:p w:rsidR="00556A1D" w:rsidRDefault="002F7688">
      <w:pPr>
        <w:ind w:left="432" w:hanging="432"/>
        <w:rPr>
          <w:rStyle w:val="Hyperlink"/>
          <w:b/>
          <w:bCs/>
        </w:rPr>
      </w:pPr>
      <w:r>
        <w:t xml:space="preserve">Tabong, P. T. N., &amp; Adongo, P. B. (2013). Understanding the social meaning of infertility and childbearing: A qualitative study of the perception of childbearing and childlessness in Northern Ghana. PLOS ONE, 8(1), e54429. </w:t>
      </w:r>
      <w:r>
        <w:rPr>
          <w:rStyle w:val="Hyperlink"/>
          <w:b/>
          <w:bCs/>
          <w:u w:val="none"/>
        </w:rPr>
        <w:t>https://doi.</w:t>
      </w:r>
      <w:r>
        <w:rPr>
          <w:rStyle w:val="Hyperlink"/>
          <w:b/>
          <w:bCs/>
          <w:u w:val="none"/>
        </w:rPr>
        <w:t>org/10.1371/journal.pone.0054429</w:t>
      </w:r>
    </w:p>
    <w:p w:rsidR="00556A1D" w:rsidRDefault="002F7688">
      <w:pPr>
        <w:ind w:left="432" w:hanging="432"/>
        <w:rPr>
          <w:rStyle w:val="Hyperlink"/>
          <w:b/>
          <w:bCs/>
          <w:u w:val="none"/>
        </w:rPr>
      </w:pPr>
      <w:r>
        <w:t xml:space="preserve">Tabong, P. T. N., &amp; Adongo, P. B. (2013a). Infertility and childlessness: A qualitative study of the experiences of infertile couples in Northern Ghana. BMC Pregnancy and Childbirth, 13, 72. </w:t>
      </w:r>
      <w:r>
        <w:rPr>
          <w:rStyle w:val="Hyperlink"/>
          <w:b/>
          <w:bCs/>
          <w:u w:val="none"/>
        </w:rPr>
        <w:t>https://doi.org/10.1186/1471-239</w:t>
      </w:r>
      <w:r>
        <w:rPr>
          <w:rStyle w:val="Hyperlink"/>
          <w:b/>
          <w:bCs/>
          <w:u w:val="none"/>
        </w:rPr>
        <w:t>3-13-72</w:t>
      </w:r>
    </w:p>
    <w:p w:rsidR="00556A1D" w:rsidRDefault="002F7688">
      <w:pPr>
        <w:ind w:left="432" w:hanging="432"/>
      </w:pPr>
      <w:r>
        <w:t>World Health Organization. (2023). Infertility prevalence estimates, 1990–2021. World Health Organization.</w:t>
      </w:r>
    </w:p>
    <w:p w:rsidR="00556A1D" w:rsidRDefault="002F7688">
      <w:pPr>
        <w:ind w:left="432" w:hanging="432"/>
        <w:rPr>
          <w:rStyle w:val="Hyperlink"/>
          <w:b/>
          <w:bCs/>
          <w:u w:val="none"/>
        </w:rPr>
      </w:pPr>
      <w:r>
        <w:t xml:space="preserve">Xie, Y., Ren, Y., Niu, C., Zheng, Y., Yu, P., &amp; Li, L. (2023). The impact of stigma on mental health and quality of life of infertile women: </w:t>
      </w:r>
      <w:r>
        <w:t xml:space="preserve">A systematic review. Frontiers in Psychology, 13, 1093459. </w:t>
      </w:r>
      <w:r>
        <w:rPr>
          <w:rStyle w:val="Hyperlink"/>
          <w:b/>
          <w:bCs/>
          <w:u w:val="none"/>
        </w:rPr>
        <w:t>https://doi.org/10.3389/fpsyg.2022.1093459</w:t>
      </w:r>
    </w:p>
    <w:sectPr w:rsidR="00556A1D">
      <w:footerReference w:type="default" r:id="rId13"/>
      <w:pgSz w:w="12240" w:h="15840"/>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688" w:rsidRDefault="002F7688">
      <w:pPr>
        <w:spacing w:line="240" w:lineRule="auto"/>
      </w:pPr>
      <w:r>
        <w:separator/>
      </w:r>
    </w:p>
  </w:endnote>
  <w:endnote w:type="continuationSeparator" w:id="0">
    <w:p w:rsidR="002F7688" w:rsidRDefault="002F76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A1D" w:rsidRDefault="002F7688">
    <w:pPr>
      <w:pStyle w:val="Footer"/>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556A1D" w:rsidRDefault="002F7688">
                          <w:pPr>
                            <w:pStyle w:val="Footer"/>
                          </w:pPr>
                          <w:r>
                            <w:fldChar w:fldCharType="begin"/>
                          </w:r>
                          <w:r>
                            <w:instrText xml:space="preserve"> PAGE  \* MERGEFORMAT </w:instrText>
                          </w:r>
                          <w:r>
                            <w:fldChar w:fldCharType="separate"/>
                          </w:r>
                          <w:r w:rsidR="00F31408">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" filled="f" fillcolor="white [3201]" stroked="f" strokeweight=".5pt">
              <v:textbox style="mso-fit-shape-to-text:t" inset="0,0,0,0">
                <w:txbxContent>
                  <w:p w:rsidR="00556A1D" w:rsidRDefault="002F7688">
                    <w:pPr>
                      <w:pStyle w:val="Footer"/>
                    </w:pPr>
                    <w:r>
                      <w:fldChar w:fldCharType="begin"/>
                    </w:r>
                    <w:r>
                      <w:instrText xml:space="preserve"> PAGE  \* MERGEFORMAT </w:instrText>
                    </w:r>
                    <w:r>
                      <w:fldChar w:fldCharType="separate"/>
                    </w:r>
                    <w:r w:rsidR="00F31408">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688" w:rsidRDefault="002F7688">
      <w:pPr>
        <w:spacing w:after="0"/>
      </w:pPr>
      <w:r>
        <w:separator/>
      </w:r>
    </w:p>
  </w:footnote>
  <w:footnote w:type="continuationSeparator" w:id="0">
    <w:p w:rsidR="002F7688" w:rsidRDefault="002F768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F7688"/>
    <w:rsid w:val="00326F90"/>
    <w:rsid w:val="0050282E"/>
    <w:rsid w:val="00556A1D"/>
    <w:rsid w:val="00985EA3"/>
    <w:rsid w:val="00AA1D8D"/>
    <w:rsid w:val="00B47730"/>
    <w:rsid w:val="00CB0664"/>
    <w:rsid w:val="00F31408"/>
    <w:rsid w:val="00FC693F"/>
    <w:rsid w:val="1EA24702"/>
    <w:rsid w:val="1EAB6BE3"/>
    <w:rsid w:val="5B9C1856"/>
    <w:rsid w:val="779878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47F57E8-C2B7-44F2-9A46-422CE5FB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lsdException w:name="Medium Shading 1" w:uiPriority="63"/>
    <w:lsdException w:name="Medium Shading 2" w:uiPriority="64" w:qFormat="1"/>
    <w:lsdException w:name="Medium List 1" w:uiPriority="65" w:qFormat="1"/>
    <w:lsdException w:name="Medium List 2" w:uiPriority="66"/>
    <w:lsdException w:name="Medium Grid 1" w:uiPriority="67"/>
    <w:lsdException w:name="Medium Grid 2" w:uiPriority="68"/>
    <w:lsdException w:name="Medium Grid 3" w:uiPriority="69" w:qFormat="1"/>
    <w:lsdException w:name="Dark List" w:uiPriority="70" w:qFormat="1"/>
    <w:lsdException w:name="Colorful Shading" w:uiPriority="71" w:qFormat="1"/>
    <w:lsdException w:name="Colorful List" w:uiPriority="72" w:qFormat="1"/>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qFormat="1"/>
    <w:lsdException w:name="Dark List Accent 1" w:uiPriority="70"/>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lsdException w:name="Dark List Accent 2" w:uiPriority="70"/>
    <w:lsdException w:name="Colorful Shading Accent 2" w:uiPriority="71" w:qFormat="1"/>
    <w:lsdException w:name="Colorful List Accent 2" w:uiPriority="72"/>
    <w:lsdException w:name="Colorful Grid Accent 2" w:uiPriority="73" w:qFormat="1"/>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qFormat="1"/>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qFormat="1"/>
    <w:lsdException w:name="Medium List 2 Accent 5" w:uiPriority="66"/>
    <w:lsdException w:name="Medium Grid 1 Accent 5" w:uiPriority="67" w:qFormat="1"/>
    <w:lsdException w:name="Medium Grid 2 Accent 5" w:uiPriority="68" w:qFormat="1"/>
    <w:lsdException w:name="Medium Grid 3 Accent 5" w:uiPriority="69"/>
    <w:lsdException w:name="Dark List Accent 5" w:uiPriority="70" w:qFormat="1"/>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qFormat="1"/>
    <w:lsdException w:name="Light Grid Accent 6" w:uiPriority="62" w:qFormat="1"/>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qFormat="1"/>
    <w:lsdException w:name="Medium Grid 2 Accent 6" w:uiPriority="68"/>
    <w:lsdException w:name="Medium Grid 3 Accent 6" w:uiPriority="69" w:qFormat="1"/>
    <w:lsdException w:name="Dark List Accent 6" w:uiPriority="70" w:qFormat="1"/>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93" w:lineRule="auto"/>
    </w:pPr>
    <w:rPr>
      <w:rFonts w:ascii="Times New Roman" w:hAnsi="Times New Roman"/>
      <w:sz w:val="22"/>
      <w:szCs w:val="22"/>
    </w:rPr>
  </w:style>
  <w:style w:type="paragraph" w:styleId="Heading1">
    <w:name w:val="heading 1"/>
    <w:basedOn w:val="Normal"/>
    <w:next w:val="Normal"/>
    <w:link w:val="Heading1Char"/>
    <w:uiPriority w:val="9"/>
    <w:qFormat/>
    <w:pPr>
      <w:keepNext/>
      <w:keepLines/>
      <w:spacing w:before="220" w:after="100"/>
      <w:outlineLvl w:val="0"/>
    </w:pPr>
    <w:rPr>
      <w:rFonts w:asciiTheme="majorHAnsi" w:eastAsiaTheme="majorEastAsia" w:hAnsiTheme="majorHAnsi" w:cstheme="majorBidi"/>
      <w:b/>
      <w:bCs/>
      <w:color w:val="1C3A37"/>
      <w:sz w:val="26"/>
      <w:szCs w:val="28"/>
    </w:rPr>
  </w:style>
  <w:style w:type="paragraph" w:styleId="Heading2">
    <w:name w:val="heading 2"/>
    <w:basedOn w:val="Normal"/>
    <w:next w:val="Normal"/>
    <w:link w:val="Heading2Char"/>
    <w:uiPriority w:val="9"/>
    <w:unhideWhenUsed/>
    <w:qFormat/>
    <w:pPr>
      <w:keepNext/>
      <w:keepLines/>
      <w:spacing w:before="220" w:after="100"/>
      <w:outlineLvl w:val="1"/>
    </w:pPr>
    <w:rPr>
      <w:rFonts w:asciiTheme="majorHAnsi" w:eastAsiaTheme="majorEastAsia" w:hAnsiTheme="majorHAnsi" w:cstheme="majorBidi"/>
      <w:b/>
      <w:bCs/>
      <w:color w:val="1C3A37"/>
      <w:sz w:val="23"/>
      <w:szCs w:val="26"/>
    </w:rPr>
  </w:style>
  <w:style w:type="paragraph" w:styleId="Heading3">
    <w:name w:val="heading 3"/>
    <w:basedOn w:val="Normal"/>
    <w:next w:val="BodyText"/>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style>
  <w:style w:type="paragraph" w:styleId="BodyText2">
    <w:name w:val="Body Text 2"/>
    <w:basedOn w:val="Normal"/>
    <w:link w:val="BodyText2Char"/>
    <w:uiPriority w:val="99"/>
    <w:unhideWhenUsed/>
    <w:qFormat/>
    <w:pPr>
      <w:spacing w:line="480" w:lineRule="auto"/>
    </w:pPr>
  </w:style>
  <w:style w:type="paragraph" w:styleId="BodyText3">
    <w:name w:val="Body Text 3"/>
    <w:basedOn w:val="Normal"/>
    <w:link w:val="BodyText3Char"/>
    <w:uiPriority w:val="99"/>
    <w:unhideWhenUsed/>
    <w:qFormat/>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ind w:left="360"/>
      <w:contextualSpacing/>
    </w:pPr>
  </w:style>
  <w:style w:type="paragraph" w:styleId="ListContinue2">
    <w:name w:val="List Continue 2"/>
    <w:basedOn w:val="Normal"/>
    <w:uiPriority w:val="99"/>
    <w:unhideWhenUsed/>
    <w:qFormat/>
    <w:pPr>
      <w:ind w:left="720"/>
      <w:contextualSpacing/>
    </w:pPr>
  </w:style>
  <w:style w:type="paragraph" w:styleId="ListContinue3">
    <w:name w:val="List Continue 3"/>
    <w:basedOn w:val="Normal"/>
    <w:uiPriority w:val="99"/>
    <w:unhideWhenUsed/>
    <w:qFormat/>
    <w:pPr>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before="220" w:after="100" w:line="240" w:lineRule="auto"/>
      <w:contextualSpacing/>
    </w:pPr>
    <w:rPr>
      <w:rFonts w:asciiTheme="majorHAnsi" w:eastAsiaTheme="majorEastAsia" w:hAnsiTheme="majorHAnsi" w:cstheme="majorBidi"/>
      <w:b/>
      <w:color w:val="1C3A37"/>
      <w:spacing w:val="5"/>
      <w:kern w:val="28"/>
      <w:sz w:val="3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awomark87@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ni.org/isni/000000053170405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4FA0F4-4E1C-4BE5-954E-E919A310B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10612</Words>
  <Characters>60495</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GEMTECH 1</cp:lastModifiedBy>
  <cp:revision>2</cp:revision>
  <dcterms:created xsi:type="dcterms:W3CDTF">2026-11-06T09:06:00Z</dcterms:created>
  <dcterms:modified xsi:type="dcterms:W3CDTF">2026-11-06T09:06:00Z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97C4FEFD7C044965A44292F97FC4AC20_13</vt:lpwstr>
  </property>
</Properties>
</file>